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-570810161"/>
        <w:docPartObj>
          <w:docPartGallery w:val="Cover Pages"/>
          <w:docPartUnique/>
        </w:docPartObj>
      </w:sdtPr>
      <w:sdtEndPr>
        <w:rPr>
          <w:rFonts w:eastAsiaTheme="minorHAnsi"/>
          <w:color w:val="auto"/>
          <w:lang w:eastAsia="en-US"/>
        </w:rPr>
      </w:sdtEndPr>
      <w:sdtContent>
        <w:p w14:paraId="155A4E6C" w14:textId="750682C1" w:rsidR="005D3260" w:rsidRDefault="005D3260" w:rsidP="005D3260">
          <w:pPr>
            <w:pStyle w:val="Bezmezer"/>
            <w:spacing w:before="1540" w:after="240"/>
            <w:ind w:left="-1134" w:right="-1134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15D32E90" wp14:editId="14856B99">
                <wp:extent cx="7183337" cy="3116580"/>
                <wp:effectExtent l="0" t="0" r="0" b="762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0112" cy="3119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DAB2732" w14:textId="0AFC763C" w:rsidR="005D3260" w:rsidRDefault="005D3260">
          <w:r>
            <w:br w:type="page"/>
          </w:r>
        </w:p>
      </w:sdtContent>
    </w:sdt>
    <w:p w14:paraId="77197D93" w14:textId="71BFFF1E" w:rsidR="00C974C5" w:rsidRPr="00E52745" w:rsidRDefault="00E52745">
      <w:pPr>
        <w:rPr>
          <w:b/>
          <w:i/>
          <w:sz w:val="28"/>
          <w:szCs w:val="28"/>
        </w:rPr>
      </w:pPr>
      <w:r w:rsidRPr="00E52745">
        <w:rPr>
          <w:b/>
          <w:i/>
          <w:sz w:val="28"/>
          <w:szCs w:val="28"/>
        </w:rPr>
        <w:lastRenderedPageBreak/>
        <w:t xml:space="preserve">Příčiny přejídání </w:t>
      </w:r>
    </w:p>
    <w:tbl>
      <w:tblPr>
        <w:tblStyle w:val="Mkatabulky"/>
        <w:tblW w:w="8644" w:type="dxa"/>
        <w:tblLook w:val="04A0" w:firstRow="1" w:lastRow="0" w:firstColumn="1" w:lastColumn="0" w:noHBand="0" w:noVBand="1"/>
      </w:tblPr>
      <w:tblGrid>
        <w:gridCol w:w="6864"/>
        <w:gridCol w:w="356"/>
        <w:gridCol w:w="356"/>
        <w:gridCol w:w="356"/>
        <w:gridCol w:w="356"/>
        <w:gridCol w:w="356"/>
      </w:tblGrid>
      <w:tr w:rsidR="00E52745" w:rsidRPr="00E52745" w14:paraId="3EA179BF" w14:textId="77777777" w:rsidTr="00280656">
        <w:tc>
          <w:tcPr>
            <w:tcW w:w="864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35F73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5274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Proč se lidé přejídají – test </w:t>
            </w:r>
          </w:p>
        </w:tc>
      </w:tr>
      <w:tr w:rsidR="00E52745" w:rsidRPr="00E52745" w14:paraId="4AF19BFA" w14:textId="77777777" w:rsidTr="00280656">
        <w:tc>
          <w:tcPr>
            <w:tcW w:w="864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C86C5A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Nabízené možnosti odpovědi - zakřížkujte jednu z nabízených možností:</w:t>
            </w:r>
          </w:p>
        </w:tc>
      </w:tr>
      <w:tr w:rsidR="00E52745" w:rsidRPr="00E52745" w14:paraId="4E8EDDAA" w14:textId="77777777" w:rsidTr="00280656">
        <w:tc>
          <w:tcPr>
            <w:tcW w:w="864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99326" w14:textId="77777777" w:rsidR="00E52745" w:rsidRPr="00E52745" w:rsidRDefault="00E52745" w:rsidP="00E52745">
            <w:pPr>
              <w:pStyle w:val="Odstavecseseznamem"/>
              <w:tabs>
                <w:tab w:val="left" w:pos="0"/>
                <w:tab w:val="left" w:pos="142"/>
              </w:tabs>
              <w:spacing w:line="276" w:lineRule="auto"/>
              <w:ind w:hanging="57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Kritéria pro posuzování: 1 - ne, nikdy; 2 – zřídka; 3 – občas; 4 – často; 5 – vždy</w:t>
            </w:r>
          </w:p>
        </w:tc>
      </w:tr>
      <w:tr w:rsidR="00E52745" w:rsidRPr="00E52745" w14:paraId="0EE5DD7A" w14:textId="77777777" w:rsidTr="00E52745">
        <w:tc>
          <w:tcPr>
            <w:tcW w:w="6864" w:type="dxa"/>
            <w:tcBorders>
              <w:top w:val="single" w:sz="12" w:space="0" w:color="auto"/>
              <w:left w:val="single" w:sz="12" w:space="0" w:color="auto"/>
            </w:tcBorders>
          </w:tcPr>
          <w:p w14:paraId="59DA99D3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A: Jím, jen když mám hlad </w:t>
            </w:r>
          </w:p>
        </w:tc>
        <w:tc>
          <w:tcPr>
            <w:tcW w:w="356" w:type="dxa"/>
            <w:tcBorders>
              <w:top w:val="single" w:sz="12" w:space="0" w:color="auto"/>
            </w:tcBorders>
          </w:tcPr>
          <w:p w14:paraId="324C100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  <w:tcBorders>
              <w:top w:val="single" w:sz="12" w:space="0" w:color="auto"/>
            </w:tcBorders>
          </w:tcPr>
          <w:p w14:paraId="2B10280D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  <w:tcBorders>
              <w:top w:val="single" w:sz="12" w:space="0" w:color="auto"/>
            </w:tcBorders>
          </w:tcPr>
          <w:p w14:paraId="25DD3B17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top w:val="single" w:sz="12" w:space="0" w:color="auto"/>
            </w:tcBorders>
          </w:tcPr>
          <w:p w14:paraId="333095F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top w:val="single" w:sz="12" w:space="0" w:color="auto"/>
              <w:right w:val="single" w:sz="12" w:space="0" w:color="auto"/>
            </w:tcBorders>
          </w:tcPr>
          <w:p w14:paraId="69F59F1C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10FD73F7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236E3ECE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B: Vzhled a vůně tvoří součást mého prožitku z jídla. </w:t>
            </w:r>
          </w:p>
        </w:tc>
        <w:tc>
          <w:tcPr>
            <w:tcW w:w="356" w:type="dxa"/>
          </w:tcPr>
          <w:p w14:paraId="576C222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6A6615C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695EE35C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78453FB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13AA8D5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4CFFA6F1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66567C08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C: Jídlo je příjemné a uvolňuje mne. </w:t>
            </w:r>
          </w:p>
        </w:tc>
        <w:tc>
          <w:tcPr>
            <w:tcW w:w="356" w:type="dxa"/>
          </w:tcPr>
          <w:p w14:paraId="1EE12CAE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3F7BC6A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0A8104C2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12A0454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298E23C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57E51C9A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06B44BFD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D: Jím, když mám zlost. </w:t>
            </w:r>
          </w:p>
        </w:tc>
        <w:tc>
          <w:tcPr>
            <w:tcW w:w="356" w:type="dxa"/>
          </w:tcPr>
          <w:p w14:paraId="4DD3D39E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526A42C4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5190486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273639D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6654A25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00EDC21A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0B872BD8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E: Když dostanu chuť na něco, co nemám k dispozici, jsem velmi nervózní. </w:t>
            </w:r>
          </w:p>
        </w:tc>
        <w:tc>
          <w:tcPr>
            <w:tcW w:w="356" w:type="dxa"/>
          </w:tcPr>
          <w:p w14:paraId="5BA9C686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1B31E058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63784564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180AFAB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78416C8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422D6C85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3C3C1C83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F: Jím, i když nemám hlad. </w:t>
            </w:r>
          </w:p>
        </w:tc>
        <w:tc>
          <w:tcPr>
            <w:tcW w:w="356" w:type="dxa"/>
          </w:tcPr>
          <w:p w14:paraId="691EA8D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5840A1A3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4285E06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24FDADE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33042C8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6ABB6AE6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63A9019B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G: Jím, abych se povzbudil/a, abych si dodal/a sebedůvěru. </w:t>
            </w:r>
          </w:p>
        </w:tc>
        <w:tc>
          <w:tcPr>
            <w:tcW w:w="356" w:type="dxa"/>
          </w:tcPr>
          <w:p w14:paraId="65AF889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1A18480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308EE97D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75A030CE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1D7D4B38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0A822207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3300E54D" w14:textId="77777777" w:rsidR="00E52745" w:rsidRPr="00E52745" w:rsidRDefault="00E52745" w:rsidP="00280656">
            <w:pPr>
              <w:pStyle w:val="Odstavecseseznamem"/>
              <w:tabs>
                <w:tab w:val="left" w:pos="284"/>
              </w:tabs>
              <w:spacing w:line="276" w:lineRule="auto"/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H: Příprava, očekávání, pohled na stolující a pokrmy tvoří součást mé radosti z jídla. </w:t>
            </w:r>
          </w:p>
        </w:tc>
        <w:tc>
          <w:tcPr>
            <w:tcW w:w="356" w:type="dxa"/>
          </w:tcPr>
          <w:p w14:paraId="44699C74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22A3F40C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06D6250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60579858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1B7C4C27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22C1AFB6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3D602050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I: Jídlo je mi příjemné. </w:t>
            </w:r>
          </w:p>
        </w:tc>
        <w:tc>
          <w:tcPr>
            <w:tcW w:w="356" w:type="dxa"/>
          </w:tcPr>
          <w:p w14:paraId="2BC478A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2B546A9E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608AF6B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4E283AC6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7863ABC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2F30DB7F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7B7E986E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J: Když jsem nesvůj/nesvá nebo vyvedený/á z míry, začnu jíst. </w:t>
            </w:r>
          </w:p>
        </w:tc>
        <w:tc>
          <w:tcPr>
            <w:tcW w:w="356" w:type="dxa"/>
          </w:tcPr>
          <w:p w14:paraId="42AAA07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26DA82F2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27DE3A9C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137B2B1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773108F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3C769C11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006157CE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K: Když jsem omezen/a v jídle, musím na to stále myslet. </w:t>
            </w:r>
          </w:p>
        </w:tc>
        <w:tc>
          <w:tcPr>
            <w:tcW w:w="356" w:type="dxa"/>
          </w:tcPr>
          <w:p w14:paraId="317223F2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02D9D7E8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7A3C8ABD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7FA35BFC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390CD5E6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6FFAAF9B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2D4E04E7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L: Jím z nudy. </w:t>
            </w:r>
          </w:p>
        </w:tc>
        <w:tc>
          <w:tcPr>
            <w:tcW w:w="356" w:type="dxa"/>
          </w:tcPr>
          <w:p w14:paraId="251EEBC2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2E474326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7EE7E231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20DD6664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68ADD614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6EACE3C0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7F2FAE30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M: Jídlo u mne vzbuzuje lepší náladu. </w:t>
            </w:r>
          </w:p>
        </w:tc>
        <w:tc>
          <w:tcPr>
            <w:tcW w:w="356" w:type="dxa"/>
          </w:tcPr>
          <w:p w14:paraId="633A626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51DD996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3D51EC2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0ADDDD81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7C8753F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5AD4997E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79AA1F6D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N: Část požitku mám i z nakupování. </w:t>
            </w:r>
          </w:p>
        </w:tc>
        <w:tc>
          <w:tcPr>
            <w:tcW w:w="356" w:type="dxa"/>
          </w:tcPr>
          <w:p w14:paraId="0E84A158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112E737B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3E10E63D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295D809D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031BC155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780C84B0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291158C9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O: Nejčastěji toužím po jídle, když jsem v pohodě a relaxuji. </w:t>
            </w:r>
          </w:p>
        </w:tc>
        <w:tc>
          <w:tcPr>
            <w:tcW w:w="356" w:type="dxa"/>
          </w:tcPr>
          <w:p w14:paraId="1987D19E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0A814F87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1DD49934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00062B5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07B9A571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7EB1B008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134B5AFB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P: Když mne něco trápí a chci zapomenout, tak jím. </w:t>
            </w:r>
          </w:p>
        </w:tc>
        <w:tc>
          <w:tcPr>
            <w:tcW w:w="356" w:type="dxa"/>
          </w:tcPr>
          <w:p w14:paraId="4CEE0701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628F9790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39B66639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257C7CAA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33C74513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256B9203" w14:textId="77777777" w:rsidTr="00E52745">
        <w:tc>
          <w:tcPr>
            <w:tcW w:w="6864" w:type="dxa"/>
            <w:tcBorders>
              <w:left w:val="single" w:sz="12" w:space="0" w:color="auto"/>
            </w:tcBorders>
          </w:tcPr>
          <w:p w14:paraId="01BB23B6" w14:textId="77777777" w:rsidR="00E52745" w:rsidRP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R: Když nějakou dobu nejím, pociťuji chuť k jídlu. </w:t>
            </w:r>
          </w:p>
        </w:tc>
        <w:tc>
          <w:tcPr>
            <w:tcW w:w="356" w:type="dxa"/>
          </w:tcPr>
          <w:p w14:paraId="0355B9E3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</w:tcPr>
          <w:p w14:paraId="0AC8F8DC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</w:tcPr>
          <w:p w14:paraId="5AFFCDA8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</w:tcPr>
          <w:p w14:paraId="22819206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14:paraId="5FCBB856" w14:textId="77777777" w:rsidR="00E52745" w:rsidRPr="00E52745" w:rsidRDefault="00E52745" w:rsidP="00280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52745" w:rsidRPr="00E52745" w14:paraId="5D4F0510" w14:textId="77777777" w:rsidTr="00E52745">
        <w:tc>
          <w:tcPr>
            <w:tcW w:w="6864" w:type="dxa"/>
            <w:tcBorders>
              <w:left w:val="single" w:sz="12" w:space="0" w:color="auto"/>
              <w:bottom w:val="single" w:sz="12" w:space="0" w:color="auto"/>
            </w:tcBorders>
          </w:tcPr>
          <w:p w14:paraId="2ACD3D9B" w14:textId="77777777" w:rsidR="00E52745" w:rsidRPr="00E52745" w:rsidRDefault="00E52745" w:rsidP="00280656">
            <w:pPr>
              <w:pStyle w:val="Odstavecseseznamem"/>
              <w:tabs>
                <w:tab w:val="left" w:pos="284"/>
              </w:tabs>
              <w:spacing w:line="276" w:lineRule="auto"/>
              <w:ind w:left="284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 xml:space="preserve">S: Stává se, zpravidla u televize, že si beru brambůrky, tyčinky atd., aniž bych to vnímal/a. 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14:paraId="1EC125D9" w14:textId="77777777" w:rsidR="00E52745" w:rsidRPr="00E52745" w:rsidRDefault="00E52745" w:rsidP="002806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14:paraId="72D5B4B2" w14:textId="77777777" w:rsidR="00E52745" w:rsidRPr="00E52745" w:rsidRDefault="00E52745" w:rsidP="002806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14:paraId="0B81F9B8" w14:textId="77777777" w:rsidR="00E52745" w:rsidRPr="00E52745" w:rsidRDefault="00E52745" w:rsidP="002806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14:paraId="1455AE6F" w14:textId="77777777" w:rsidR="00E52745" w:rsidRPr="00E52745" w:rsidRDefault="00E52745" w:rsidP="002806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12" w:space="0" w:color="auto"/>
              <w:right w:val="single" w:sz="12" w:space="0" w:color="auto"/>
            </w:tcBorders>
          </w:tcPr>
          <w:p w14:paraId="3611A0B5" w14:textId="77777777" w:rsidR="00E52745" w:rsidRPr="00E52745" w:rsidRDefault="00E52745" w:rsidP="0028065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27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B821154" w14:textId="77777777" w:rsid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(Převzato: Anděl, A., Andělová, Š. 2004. s. 19-21. Upravil: M. Svoboda, 2015)</w:t>
      </w:r>
    </w:p>
    <w:p w14:paraId="07DF872E" w14:textId="77777777" w:rsid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551A403" w14:textId="77777777" w:rsid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80DD8B0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63EAA5C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Vyhodnocení: </w:t>
      </w:r>
      <w:r w:rsidRPr="00E52745">
        <w:rPr>
          <w:rFonts w:ascii="Times New Roman" w:hAnsi="Times New Roman" w:cs="Times New Roman"/>
          <w:sz w:val="28"/>
          <w:szCs w:val="28"/>
        </w:rPr>
        <w:t xml:space="preserve">označené hodnoty sečtěte a zapište do příslušných kolonek. </w:t>
      </w:r>
    </w:p>
    <w:p w14:paraId="3D1A5DC5" w14:textId="77777777" w:rsid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43"/>
        <w:gridCol w:w="2835"/>
        <w:gridCol w:w="2865"/>
      </w:tblGrid>
      <w:tr w:rsidR="00E52745" w14:paraId="67611DAC" w14:textId="77777777" w:rsidTr="00280656"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C19F2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Povzbuzení – </w:t>
            </w:r>
            <w:r w:rsidRPr="00C86A91">
              <w:rPr>
                <w:rFonts w:ascii="Times New Roman" w:hAnsi="Times New Roman" w:cs="Times New Roman"/>
                <w:i/>
              </w:rPr>
              <w:t>vnitřní podnět</w:t>
            </w:r>
          </w:p>
          <w:p w14:paraId="14CC286A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A: ……</w:t>
            </w:r>
          </w:p>
          <w:p w14:paraId="773739A1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G: ……</w:t>
            </w:r>
          </w:p>
          <w:p w14:paraId="1CAACE80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M: ……</w:t>
            </w:r>
          </w:p>
          <w:p w14:paraId="5FC0C576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1642C38" w14:textId="77777777" w:rsidR="00E52745" w:rsidRPr="00C86A91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Součet: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1067B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Potěšení – </w:t>
            </w:r>
            <w:r w:rsidRPr="00C86A91">
              <w:rPr>
                <w:rFonts w:ascii="Times New Roman" w:hAnsi="Times New Roman" w:cs="Times New Roman"/>
                <w:i/>
              </w:rPr>
              <w:t>vnitřní podnět</w:t>
            </w:r>
          </w:p>
          <w:p w14:paraId="716287FB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C: ……</w:t>
            </w:r>
          </w:p>
          <w:p w14:paraId="6C0791C1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I: ……</w:t>
            </w:r>
          </w:p>
          <w:p w14:paraId="796F96C4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O: ……</w:t>
            </w:r>
          </w:p>
          <w:p w14:paraId="48F7CE92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5BC8A22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Součet:</w:t>
            </w:r>
          </w:p>
        </w:tc>
        <w:tc>
          <w:tcPr>
            <w:tcW w:w="2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C250E" w14:textId="77777777" w:rsidR="00E52745" w:rsidRPr="00C86A91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Návyk – </w:t>
            </w:r>
            <w:r w:rsidRPr="00C86A91">
              <w:rPr>
                <w:rFonts w:ascii="Times New Roman" w:hAnsi="Times New Roman" w:cs="Times New Roman"/>
                <w:i/>
              </w:rPr>
              <w:t>vnitřní podnět</w:t>
            </w:r>
          </w:p>
          <w:p w14:paraId="25F63060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F: ……</w:t>
            </w:r>
          </w:p>
          <w:p w14:paraId="70AAA5BE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L: ……</w:t>
            </w:r>
          </w:p>
          <w:p w14:paraId="5DA5662E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S: ……</w:t>
            </w:r>
          </w:p>
          <w:p w14:paraId="2D4DCBCD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C905031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Součet:</w:t>
            </w:r>
          </w:p>
        </w:tc>
      </w:tr>
      <w:tr w:rsidR="00E52745" w14:paraId="02AA41D2" w14:textId="77777777" w:rsidTr="00280656"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C4054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Relaxace – </w:t>
            </w:r>
            <w:r w:rsidRPr="00C86A91">
              <w:rPr>
                <w:rFonts w:ascii="Times New Roman" w:hAnsi="Times New Roman" w:cs="Times New Roman"/>
                <w:i/>
              </w:rPr>
              <w:t>vnitřní podnět</w:t>
            </w:r>
          </w:p>
          <w:p w14:paraId="37FC9F1F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D: ……</w:t>
            </w:r>
          </w:p>
          <w:p w14:paraId="71714279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J: ……</w:t>
            </w:r>
          </w:p>
          <w:p w14:paraId="21101079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P: ……</w:t>
            </w:r>
          </w:p>
          <w:p w14:paraId="0054B6D2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CF646FE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Součet: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0E5AAA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Touha – </w:t>
            </w:r>
            <w:r w:rsidRPr="00C86A91">
              <w:rPr>
                <w:rFonts w:ascii="Times New Roman" w:hAnsi="Times New Roman" w:cs="Times New Roman"/>
                <w:i/>
              </w:rPr>
              <w:t>vnitřní podnět</w:t>
            </w:r>
          </w:p>
          <w:p w14:paraId="04B8EC33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E: ……</w:t>
            </w:r>
          </w:p>
          <w:p w14:paraId="454A1C18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K: ……</w:t>
            </w:r>
          </w:p>
          <w:p w14:paraId="4724AE11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R: ……</w:t>
            </w:r>
          </w:p>
          <w:p w14:paraId="6536AAD9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D453D84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Součet:</w:t>
            </w:r>
          </w:p>
        </w:tc>
        <w:tc>
          <w:tcPr>
            <w:tcW w:w="2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5E65D" w14:textId="77777777" w:rsidR="00E52745" w:rsidRPr="000C22D8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22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Vnější podněty: </w:t>
            </w:r>
          </w:p>
          <w:p w14:paraId="4E736FE6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B: ……</w:t>
            </w:r>
          </w:p>
          <w:p w14:paraId="3D98BCE5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H: ……</w:t>
            </w:r>
          </w:p>
          <w:p w14:paraId="27937E13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N: ……</w:t>
            </w:r>
          </w:p>
          <w:p w14:paraId="6058736B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50CBE1" w14:textId="77777777" w:rsidR="00E52745" w:rsidRDefault="00E52745" w:rsidP="00280656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Součet:</w:t>
            </w:r>
          </w:p>
        </w:tc>
      </w:tr>
    </w:tbl>
    <w:p w14:paraId="58ABC8EA" w14:textId="77777777" w:rsid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(Převzato: Anděl, A., Andělová, Š. 2004. s. 19-21. Upravil: M. Svoboda, 2015)</w:t>
      </w:r>
    </w:p>
    <w:p w14:paraId="5147989E" w14:textId="77777777" w:rsidR="00E52745" w:rsidRPr="00E52745" w:rsidRDefault="00E52745">
      <w:pPr>
        <w:rPr>
          <w:rFonts w:ascii="Times New Roman" w:hAnsi="Times New Roman" w:cs="Times New Roman"/>
          <w:sz w:val="28"/>
          <w:szCs w:val="28"/>
        </w:rPr>
      </w:pPr>
    </w:p>
    <w:p w14:paraId="42B6CD8D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i/>
          <w:sz w:val="28"/>
          <w:szCs w:val="28"/>
        </w:rPr>
        <w:t xml:space="preserve">Součet jedenácti a více bodů pro jednotlivá stanoviska znamená, že se jedná o důvody ovlivňující Vaše chování. Čím vyšší součet, tím závažnější je důvod věnovat dané kategorii pozornost. </w:t>
      </w:r>
    </w:p>
    <w:p w14:paraId="79F86021" w14:textId="77777777" w:rsidR="00E52745" w:rsidRDefault="00E52745">
      <w:pPr>
        <w:rPr>
          <w:rFonts w:ascii="Times New Roman" w:hAnsi="Times New Roman" w:cs="Times New Roman"/>
          <w:sz w:val="24"/>
          <w:szCs w:val="24"/>
        </w:rPr>
      </w:pPr>
    </w:p>
    <w:p w14:paraId="488CBDE3" w14:textId="77777777" w:rsidR="00E52745" w:rsidRDefault="00E52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5D7685" w14:textId="77777777" w:rsid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E98A9FA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Součet jedenácti a více bodů pro jednotlivá stanoviska znamená, že se jedná o důvody ovlivňující Vaše chování. Čím vyšší součet, tím závažnější je důvod věnovat dané kategorii pozornost. </w:t>
      </w:r>
    </w:p>
    <w:p w14:paraId="51BDB79B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Charakteristika jednotlivých kategorií: </w:t>
      </w:r>
    </w:p>
    <w:p w14:paraId="7639A2B3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Povzbuzení: </w:t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jídlo je pro Vás zdrojem energie. Jíte proto, abyste měl/a dostatek sil. </w:t>
      </w:r>
    </w:p>
    <w:p w14:paraId="1C23B4BA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>Potěšení:</w:t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 jíte proto, abyste se cítil/a dobře a v pohodě. </w:t>
      </w:r>
    </w:p>
    <w:p w14:paraId="20D8F540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Relaxace: </w:t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jídlo je pro Vás „uvolňovačem napětí“, konzumujete ho např., když jste ve stresu. </w:t>
      </w:r>
    </w:p>
    <w:p w14:paraId="3E455C23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Touha: </w:t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důvodem Vašeho případného přejídání je touha po něčem dobrém i v době, která není vymezena pro jídlo. </w:t>
      </w:r>
    </w:p>
    <w:p w14:paraId="05EC73EC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Návyk: </w:t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jíte v některých situacích, aniž byste si to uvědomovali. Například jíte při čtení, mlsáte při sledování televize, v kině, či divadle, při sledování sportovních utkání apod. </w:t>
      </w:r>
    </w:p>
    <w:p w14:paraId="5B27E9F7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b/>
          <w:i/>
          <w:sz w:val="28"/>
          <w:szCs w:val="28"/>
        </w:rPr>
        <w:t xml:space="preserve">Vnější podněty: </w:t>
      </w:r>
      <w:r w:rsidRPr="00E52745">
        <w:rPr>
          <w:rFonts w:ascii="Times New Roman" w:hAnsi="Times New Roman" w:cs="Times New Roman"/>
          <w:i/>
          <w:sz w:val="28"/>
          <w:szCs w:val="28"/>
        </w:rPr>
        <w:t xml:space="preserve">provokují Vás k jídlu vjemy, které Vás obklopují a souvisí s jídlem. Mohou to být výkladní skříně, vůně řeznictví, cukrárny či pekárny, pohled na zahradní restauraci atd. </w:t>
      </w:r>
    </w:p>
    <w:p w14:paraId="2547A2A4" w14:textId="77777777" w:rsidR="00E52745" w:rsidRPr="00E52745" w:rsidRDefault="00E52745" w:rsidP="00E52745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2745">
        <w:rPr>
          <w:rFonts w:ascii="Times New Roman" w:hAnsi="Times New Roman" w:cs="Times New Roman"/>
          <w:i/>
          <w:sz w:val="28"/>
          <w:szCs w:val="28"/>
        </w:rPr>
        <w:t>(Převzato: A. Anděl, Š. Andělová, 2004, s. 19-21; upraveno pro potřeby této práce)</w:t>
      </w:r>
    </w:p>
    <w:p w14:paraId="4837355C" w14:textId="77777777" w:rsidR="00E52745" w:rsidRPr="00E52745" w:rsidRDefault="00E52745">
      <w:pPr>
        <w:rPr>
          <w:sz w:val="28"/>
          <w:szCs w:val="28"/>
        </w:rPr>
      </w:pPr>
    </w:p>
    <w:sectPr w:rsidR="00E52745" w:rsidRPr="00E52745" w:rsidSect="005D3260">
      <w:footerReference w:type="defaul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A67F6" w14:textId="77777777" w:rsidR="004072DE" w:rsidRDefault="004072DE" w:rsidP="00E52745">
      <w:pPr>
        <w:spacing w:after="0" w:line="240" w:lineRule="auto"/>
      </w:pPr>
      <w:r>
        <w:separator/>
      </w:r>
    </w:p>
  </w:endnote>
  <w:endnote w:type="continuationSeparator" w:id="0">
    <w:p w14:paraId="44F370C9" w14:textId="77777777" w:rsidR="004072DE" w:rsidRDefault="004072DE" w:rsidP="00E52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0454759"/>
      <w:docPartObj>
        <w:docPartGallery w:val="Page Numbers (Bottom of Page)"/>
        <w:docPartUnique/>
      </w:docPartObj>
    </w:sdtPr>
    <w:sdtContent>
      <w:p w14:paraId="2C199EEF" w14:textId="07EE9B71" w:rsidR="005D3260" w:rsidRDefault="005D326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714B5C3E" w14:textId="77777777" w:rsidR="00E52745" w:rsidRDefault="00E527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E6FDE" w14:textId="77777777" w:rsidR="004072DE" w:rsidRDefault="004072DE" w:rsidP="00E52745">
      <w:pPr>
        <w:spacing w:after="0" w:line="240" w:lineRule="auto"/>
      </w:pPr>
      <w:r>
        <w:separator/>
      </w:r>
    </w:p>
  </w:footnote>
  <w:footnote w:type="continuationSeparator" w:id="0">
    <w:p w14:paraId="779B03E9" w14:textId="77777777" w:rsidR="004072DE" w:rsidRDefault="004072DE" w:rsidP="00E527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745"/>
    <w:rsid w:val="000E61C4"/>
    <w:rsid w:val="004072DE"/>
    <w:rsid w:val="00541E4C"/>
    <w:rsid w:val="005D3260"/>
    <w:rsid w:val="00C974C5"/>
    <w:rsid w:val="00E5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9796"/>
  <w15:docId w15:val="{B652F7BC-9A04-48D6-8498-846EE16C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2745"/>
  </w:style>
  <w:style w:type="paragraph" w:styleId="Nadpis1">
    <w:name w:val="heading 1"/>
    <w:basedOn w:val="Normln"/>
    <w:next w:val="Normln"/>
    <w:link w:val="Nadpis1Char"/>
    <w:uiPriority w:val="9"/>
    <w:qFormat/>
    <w:rsid w:val="00541E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1E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52745"/>
    <w:pPr>
      <w:ind w:left="720"/>
      <w:contextualSpacing/>
    </w:pPr>
  </w:style>
  <w:style w:type="table" w:styleId="Mkatabulky">
    <w:name w:val="Table Grid"/>
    <w:basedOn w:val="Normlntabulka"/>
    <w:uiPriority w:val="59"/>
    <w:rsid w:val="00E52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5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2745"/>
  </w:style>
  <w:style w:type="paragraph" w:styleId="Zpat">
    <w:name w:val="footer"/>
    <w:basedOn w:val="Normln"/>
    <w:link w:val="ZpatChar"/>
    <w:uiPriority w:val="99"/>
    <w:unhideWhenUsed/>
    <w:rsid w:val="00E5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2745"/>
  </w:style>
  <w:style w:type="paragraph" w:styleId="Bezmezer">
    <w:name w:val="No Spacing"/>
    <w:link w:val="BezmezerChar"/>
    <w:uiPriority w:val="1"/>
    <w:qFormat/>
    <w:rsid w:val="005D3260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5D3260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445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dc:description/>
  <cp:lastModifiedBy>Jana Műllerová</cp:lastModifiedBy>
  <cp:revision>2</cp:revision>
  <dcterms:created xsi:type="dcterms:W3CDTF">2022-11-23T09:44:00Z</dcterms:created>
  <dcterms:modified xsi:type="dcterms:W3CDTF">2022-11-23T09:44:00Z</dcterms:modified>
</cp:coreProperties>
</file>