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586270451"/>
        <w:docPartObj>
          <w:docPartGallery w:val="Cover Pages"/>
          <w:docPartUnique/>
        </w:docPartObj>
      </w:sdtPr>
      <w:sdtEndPr>
        <w:rPr>
          <w:rFonts w:ascii="Times New Roman" w:eastAsiaTheme="minorHAnsi" w:hAnsi="Times New Roman" w:cs="Times New Roman"/>
          <w:b/>
          <w:color w:val="FF0000"/>
          <w:sz w:val="28"/>
          <w:szCs w:val="28"/>
          <w:lang w:eastAsia="en-US"/>
        </w:rPr>
      </w:sdtEndPr>
      <w:sdtContent>
        <w:p w14:paraId="6130AD88" w14:textId="149A7314" w:rsidR="00171AAB" w:rsidRDefault="00171AAB" w:rsidP="00171AAB">
          <w:pPr>
            <w:pStyle w:val="Bezmezer"/>
            <w:spacing w:before="1540" w:after="240"/>
            <w:ind w:left="-283" w:right="-993" w:hanging="710"/>
            <w:jc w:val="center"/>
            <w:rPr>
              <w:color w:val="4472C4" w:themeColor="accent1"/>
            </w:rPr>
          </w:pPr>
          <w:r>
            <w:rPr>
              <w:noProof/>
              <w:color w:val="4472C4" w:themeColor="accent1"/>
            </w:rPr>
            <w:drawing>
              <wp:inline distT="0" distB="0" distL="0" distR="0" wp14:anchorId="043D837C" wp14:editId="09A45B5E">
                <wp:extent cx="7124700" cy="309114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7142603" cy="3098907"/>
                        </a:xfrm>
                        <a:prstGeom prst="rect">
                          <a:avLst/>
                        </a:prstGeom>
                      </pic:spPr>
                    </pic:pic>
                  </a:graphicData>
                </a:graphic>
              </wp:inline>
            </w:drawing>
          </w:r>
        </w:p>
        <w:p w14:paraId="2B155015" w14:textId="197ADCB8" w:rsidR="00171AAB" w:rsidRDefault="00171AAB">
          <w:pPr>
            <w:rPr>
              <w:rFonts w:ascii="Times New Roman" w:hAnsi="Times New Roman" w:cs="Times New Roman"/>
              <w:b/>
              <w:color w:val="FF0000"/>
              <w:sz w:val="28"/>
              <w:szCs w:val="28"/>
            </w:rPr>
          </w:pPr>
          <w:r>
            <w:rPr>
              <w:rFonts w:ascii="Times New Roman" w:hAnsi="Times New Roman" w:cs="Times New Roman"/>
              <w:b/>
              <w:color w:val="FF0000"/>
              <w:sz w:val="28"/>
              <w:szCs w:val="28"/>
            </w:rPr>
            <w:br w:type="page"/>
          </w:r>
        </w:p>
      </w:sdtContent>
    </w:sdt>
    <w:p w14:paraId="34AE360C" w14:textId="559E0AE8" w:rsidR="008475C0" w:rsidRPr="00F32934" w:rsidRDefault="008475C0" w:rsidP="008475C0">
      <w:pPr>
        <w:jc w:val="both"/>
        <w:rPr>
          <w:rFonts w:ascii="Times New Roman" w:hAnsi="Times New Roman" w:cs="Times New Roman"/>
          <w:b/>
          <w:color w:val="FF0000"/>
          <w:sz w:val="28"/>
          <w:szCs w:val="28"/>
        </w:rPr>
      </w:pPr>
      <w:r w:rsidRPr="00F32934">
        <w:rPr>
          <w:rFonts w:ascii="Times New Roman" w:hAnsi="Times New Roman" w:cs="Times New Roman"/>
          <w:b/>
          <w:color w:val="FF0000"/>
          <w:sz w:val="28"/>
          <w:szCs w:val="28"/>
        </w:rPr>
        <w:lastRenderedPageBreak/>
        <w:t>Metodika hodnocení kvality a efektivity učebních úloh</w:t>
      </w:r>
    </w:p>
    <w:p w14:paraId="1A5C3F8F" w14:textId="77777777" w:rsidR="008475C0" w:rsidRPr="005A3326" w:rsidRDefault="008475C0" w:rsidP="008475C0">
      <w:pPr>
        <w:jc w:val="both"/>
        <w:rPr>
          <w:rFonts w:ascii="Times New Roman" w:hAnsi="Times New Roman" w:cs="Times New Roman"/>
          <w:b/>
          <w:color w:val="FF0000"/>
          <w:sz w:val="24"/>
          <w:szCs w:val="24"/>
        </w:rPr>
      </w:pPr>
      <w:r>
        <w:rPr>
          <w:rFonts w:ascii="Times New Roman" w:hAnsi="Times New Roman" w:cs="Times New Roman"/>
          <w:b/>
          <w:color w:val="FF0000"/>
          <w:sz w:val="24"/>
          <w:szCs w:val="24"/>
        </w:rPr>
        <w:t>Hlediska při</w:t>
      </w:r>
      <w:r w:rsidRPr="005A3326">
        <w:rPr>
          <w:rFonts w:ascii="Times New Roman" w:hAnsi="Times New Roman" w:cs="Times New Roman"/>
          <w:b/>
          <w:color w:val="FF0000"/>
          <w:sz w:val="24"/>
          <w:szCs w:val="24"/>
        </w:rPr>
        <w:t xml:space="preserve"> hodnocení:</w:t>
      </w:r>
    </w:p>
    <w:p w14:paraId="5FFF0938" w14:textId="77777777" w:rsidR="008475C0" w:rsidRPr="005A3326"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Kompetenční efektivita</w:t>
      </w:r>
    </w:p>
    <w:p w14:paraId="561192FE" w14:textId="77777777" w:rsidR="008475C0" w:rsidRPr="005A3326" w:rsidRDefault="008475C0" w:rsidP="008475C0">
      <w:pPr>
        <w:jc w:val="both"/>
        <w:rPr>
          <w:rFonts w:ascii="Times New Roman" w:hAnsi="Times New Roman" w:cs="Times New Roman"/>
          <w:sz w:val="24"/>
          <w:szCs w:val="24"/>
        </w:rPr>
      </w:pPr>
      <w:r w:rsidRPr="005A3326">
        <w:rPr>
          <w:rFonts w:ascii="Times New Roman" w:hAnsi="Times New Roman" w:cs="Times New Roman"/>
          <w:sz w:val="24"/>
          <w:szCs w:val="24"/>
        </w:rPr>
        <w:t>Nikoliv pouhá ilustrativnost k učivu a zaměření na pouhé konstatování faktů či memorování pojmů, ale vždy zaměřeno na problémovou metodu a tvorbu kompetence historického myšlení a historické gramotnosti</w:t>
      </w:r>
    </w:p>
    <w:p w14:paraId="7B40F874" w14:textId="77777777" w:rsidR="008475C0" w:rsidRPr="005A3326" w:rsidRDefault="008475C0" w:rsidP="008475C0">
      <w:pPr>
        <w:pStyle w:val="Odstavecseseznamem"/>
        <w:numPr>
          <w:ilvl w:val="0"/>
          <w:numId w:val="1"/>
        </w:numPr>
        <w:jc w:val="both"/>
        <w:rPr>
          <w:rFonts w:ascii="Times New Roman" w:hAnsi="Times New Roman" w:cs="Times New Roman"/>
          <w:sz w:val="24"/>
          <w:szCs w:val="24"/>
        </w:rPr>
      </w:pPr>
      <w:r w:rsidRPr="005A3326">
        <w:rPr>
          <w:rFonts w:ascii="Times New Roman" w:hAnsi="Times New Roman" w:cs="Times New Roman"/>
          <w:b/>
          <w:sz w:val="24"/>
          <w:szCs w:val="24"/>
        </w:rPr>
        <w:t>Provázanost jednotlivých úloh</w:t>
      </w:r>
      <w:r w:rsidRPr="005A3326">
        <w:rPr>
          <w:rFonts w:ascii="Times New Roman" w:hAnsi="Times New Roman" w:cs="Times New Roman"/>
          <w:sz w:val="24"/>
          <w:szCs w:val="24"/>
        </w:rPr>
        <w:t xml:space="preserve"> </w:t>
      </w:r>
    </w:p>
    <w:p w14:paraId="068886B6" w14:textId="77777777" w:rsidR="008475C0" w:rsidRPr="005A3326" w:rsidRDefault="008475C0" w:rsidP="008475C0">
      <w:pPr>
        <w:jc w:val="both"/>
        <w:rPr>
          <w:rFonts w:ascii="Times New Roman" w:hAnsi="Times New Roman" w:cs="Times New Roman"/>
          <w:sz w:val="24"/>
          <w:szCs w:val="24"/>
        </w:rPr>
      </w:pPr>
      <w:r w:rsidRPr="005A3326">
        <w:rPr>
          <w:rFonts w:ascii="Times New Roman" w:hAnsi="Times New Roman" w:cs="Times New Roman"/>
          <w:sz w:val="24"/>
          <w:szCs w:val="24"/>
        </w:rPr>
        <w:t xml:space="preserve">U navzájem provázaných úloh nedochází ke klesající tendenci v úrovni kognitivních procesů, ale naopak k postupně se zvyšující úrovni myšlenkových operací. Vhodná je </w:t>
      </w:r>
      <w:r w:rsidRPr="005A3326">
        <w:rPr>
          <w:rFonts w:ascii="Times New Roman" w:hAnsi="Times New Roman" w:cs="Times New Roman"/>
          <w:b/>
          <w:sz w:val="24"/>
          <w:szCs w:val="24"/>
        </w:rPr>
        <w:t xml:space="preserve">strategie </w:t>
      </w:r>
      <w:proofErr w:type="spellStart"/>
      <w:r w:rsidRPr="005A3326">
        <w:rPr>
          <w:rFonts w:ascii="Times New Roman" w:hAnsi="Times New Roman" w:cs="Times New Roman"/>
          <w:b/>
          <w:sz w:val="24"/>
          <w:szCs w:val="24"/>
        </w:rPr>
        <w:t>scaffoldingu</w:t>
      </w:r>
      <w:proofErr w:type="spellEnd"/>
      <w:r w:rsidRPr="005A3326">
        <w:rPr>
          <w:rFonts w:ascii="Times New Roman" w:hAnsi="Times New Roman" w:cs="Times New Roman"/>
          <w:b/>
          <w:sz w:val="24"/>
          <w:szCs w:val="24"/>
        </w:rPr>
        <w:t>.</w:t>
      </w:r>
    </w:p>
    <w:p w14:paraId="3EA49E4D" w14:textId="77777777" w:rsidR="008475C0" w:rsidRPr="005A3326" w:rsidRDefault="008475C0" w:rsidP="008475C0">
      <w:pPr>
        <w:pStyle w:val="Odstavecseseznamem"/>
        <w:numPr>
          <w:ilvl w:val="0"/>
          <w:numId w:val="1"/>
        </w:numPr>
        <w:jc w:val="both"/>
        <w:rPr>
          <w:rFonts w:ascii="Times New Roman" w:hAnsi="Times New Roman" w:cs="Times New Roman"/>
          <w:sz w:val="24"/>
          <w:szCs w:val="24"/>
        </w:rPr>
      </w:pPr>
      <w:r w:rsidRPr="005A3326">
        <w:rPr>
          <w:rFonts w:ascii="Times New Roman" w:hAnsi="Times New Roman" w:cs="Times New Roman"/>
          <w:b/>
          <w:sz w:val="24"/>
          <w:szCs w:val="24"/>
        </w:rPr>
        <w:t>Operátory</w:t>
      </w:r>
      <w:r w:rsidRPr="005A3326">
        <w:rPr>
          <w:rFonts w:ascii="Times New Roman" w:hAnsi="Times New Roman" w:cs="Times New Roman"/>
          <w:sz w:val="24"/>
          <w:szCs w:val="24"/>
        </w:rPr>
        <w:t xml:space="preserve">, </w:t>
      </w:r>
    </w:p>
    <w:p w14:paraId="4C59D3ED" w14:textId="77777777" w:rsidR="008475C0" w:rsidRPr="005A3326" w:rsidRDefault="008475C0" w:rsidP="008475C0">
      <w:pPr>
        <w:jc w:val="both"/>
        <w:rPr>
          <w:rFonts w:ascii="Times New Roman" w:hAnsi="Times New Roman" w:cs="Times New Roman"/>
          <w:sz w:val="24"/>
          <w:szCs w:val="24"/>
        </w:rPr>
      </w:pPr>
      <w:r w:rsidRPr="005A3326">
        <w:rPr>
          <w:rFonts w:ascii="Times New Roman" w:hAnsi="Times New Roman" w:cs="Times New Roman"/>
          <w:sz w:val="24"/>
          <w:szCs w:val="24"/>
        </w:rPr>
        <w:t xml:space="preserve">tedy slovesa, které mají za úkol usnadnit komunikaci mezi učiteli a žáky a také jasně vymezit činnosti, které jsou od žáka očekávány – jak jsou vhodně zvoleny a jak jsou žákům osvětleny významy sloves/operátorů. Zda jsou u různých typů výchozích pramenů (písemné prameny, obrazové prameny, kombinace písemných a obrazových pramenů) zastoupeny a pomocí operátorů požadovány všechny úrovně kognitivních operací. </w:t>
      </w:r>
    </w:p>
    <w:p w14:paraId="2D2410C7" w14:textId="77777777" w:rsidR="008475C0" w:rsidRPr="005A3326"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 xml:space="preserve">FUER </w:t>
      </w:r>
      <w:proofErr w:type="spellStart"/>
      <w:r>
        <w:rPr>
          <w:rFonts w:ascii="Times New Roman" w:hAnsi="Times New Roman" w:cs="Times New Roman"/>
          <w:b/>
          <w:sz w:val="24"/>
          <w:szCs w:val="24"/>
        </w:rPr>
        <w:t>competency</w:t>
      </w:r>
      <w:proofErr w:type="spellEnd"/>
      <w:r>
        <w:rPr>
          <w:rFonts w:ascii="Times New Roman" w:hAnsi="Times New Roman" w:cs="Times New Roman"/>
          <w:b/>
          <w:sz w:val="24"/>
          <w:szCs w:val="24"/>
        </w:rPr>
        <w:t xml:space="preserve"> </w:t>
      </w:r>
      <w:r w:rsidRPr="005A3326">
        <w:rPr>
          <w:rFonts w:ascii="Times New Roman" w:hAnsi="Times New Roman" w:cs="Times New Roman"/>
          <w:b/>
          <w:sz w:val="24"/>
          <w:szCs w:val="24"/>
        </w:rPr>
        <w:t>model</w:t>
      </w:r>
      <w:r>
        <w:rPr>
          <w:rStyle w:val="Znakapoznpodarou"/>
          <w:rFonts w:ascii="Times New Roman" w:hAnsi="Times New Roman" w:cs="Times New Roman"/>
          <w:b/>
          <w:sz w:val="24"/>
          <w:szCs w:val="24"/>
        </w:rPr>
        <w:footnoteReference w:id="1"/>
      </w:r>
    </w:p>
    <w:p w14:paraId="5BA4686D" w14:textId="77777777" w:rsidR="008475C0" w:rsidRPr="005A3326" w:rsidRDefault="008475C0" w:rsidP="008475C0">
      <w:pPr>
        <w:jc w:val="both"/>
        <w:rPr>
          <w:rFonts w:ascii="Times New Roman" w:hAnsi="Times New Roman" w:cs="Times New Roman"/>
          <w:sz w:val="24"/>
          <w:szCs w:val="24"/>
        </w:rPr>
      </w:pPr>
      <w:r w:rsidRPr="005A3326">
        <w:rPr>
          <w:rFonts w:ascii="Times New Roman" w:hAnsi="Times New Roman" w:cs="Times New Roman"/>
          <w:sz w:val="24"/>
          <w:szCs w:val="24"/>
        </w:rPr>
        <w:t xml:space="preserve">Další kategorií analýzy úloh, kterou lze aplikovat, je kategorie historických kompetencí dle FUER modelu. </w:t>
      </w:r>
      <w:r w:rsidRPr="00213CA0">
        <w:rPr>
          <w:rFonts w:ascii="Times New Roman" w:hAnsi="Times New Roman" w:cs="Times New Roman"/>
          <w:sz w:val="24"/>
          <w:szCs w:val="24"/>
        </w:rPr>
        <w:t>kompetenční model německých historiků a didaktiků, kteří se od roku 2001 sdružují ve výzkumné skupině FUER, procedurální model (vědeckého) historického myšlení byl proto pro potřeby vzdělávací praxe zjednodušen a abstrahován do podoby čtyř hlavních okruhů oborových kompetencí (</w:t>
      </w:r>
      <w:r>
        <w:rPr>
          <w:rFonts w:ascii="Times New Roman" w:hAnsi="Times New Roman" w:cs="Times New Roman"/>
          <w:sz w:val="24"/>
          <w:szCs w:val="24"/>
        </w:rPr>
        <w:t xml:space="preserve">kompetence klást otázky, metodická kompetence, </w:t>
      </w:r>
      <w:proofErr w:type="spellStart"/>
      <w:r>
        <w:rPr>
          <w:rFonts w:ascii="Times New Roman" w:hAnsi="Times New Roman" w:cs="Times New Roman"/>
          <w:sz w:val="24"/>
          <w:szCs w:val="24"/>
        </w:rPr>
        <w:t>obshová</w:t>
      </w:r>
      <w:proofErr w:type="spellEnd"/>
      <w:r>
        <w:rPr>
          <w:rFonts w:ascii="Times New Roman" w:hAnsi="Times New Roman" w:cs="Times New Roman"/>
          <w:sz w:val="24"/>
          <w:szCs w:val="24"/>
        </w:rPr>
        <w:t xml:space="preserve"> kompetence, orientační kompetence)</w:t>
      </w:r>
      <w:r w:rsidRPr="00213CA0">
        <w:rPr>
          <w:rFonts w:ascii="Times New Roman" w:hAnsi="Times New Roman" w:cs="Times New Roman"/>
          <w:sz w:val="24"/>
          <w:szCs w:val="24"/>
        </w:rPr>
        <w:t>. Na jejich zvládnutí lze pak založit tzv. historickou gramotnost žáků.</w:t>
      </w:r>
      <w:r>
        <w:rPr>
          <w:rFonts w:ascii="Times New Roman" w:hAnsi="Times New Roman" w:cs="Times New Roman"/>
          <w:sz w:val="24"/>
          <w:szCs w:val="24"/>
        </w:rPr>
        <w:t xml:space="preserve"> Jde tedy o analýzu</w:t>
      </w:r>
      <w:r w:rsidRPr="005A3326">
        <w:rPr>
          <w:rFonts w:ascii="Times New Roman" w:hAnsi="Times New Roman" w:cs="Times New Roman"/>
          <w:sz w:val="24"/>
          <w:szCs w:val="24"/>
        </w:rPr>
        <w:t xml:space="preserve"> na základě toho, jakou specificky oborovou kompetenci (obsahová kompetence, kompetence klást otázky, metodická kompetence, orientační kompetence) </w:t>
      </w:r>
      <w:r>
        <w:rPr>
          <w:rFonts w:ascii="Times New Roman" w:hAnsi="Times New Roman" w:cs="Times New Roman"/>
          <w:sz w:val="24"/>
          <w:szCs w:val="24"/>
        </w:rPr>
        <w:t xml:space="preserve">úlohy </w:t>
      </w:r>
      <w:r w:rsidRPr="005A3326">
        <w:rPr>
          <w:rFonts w:ascii="Times New Roman" w:hAnsi="Times New Roman" w:cs="Times New Roman"/>
          <w:sz w:val="24"/>
          <w:szCs w:val="24"/>
        </w:rPr>
        <w:t>rozvíjejí a zda na schopnost žáků metodicky uchopit historický materiál a poznatky, stejně jako na dovednost zařazovat poznatky do historického kontextu. Jelikož podstata FUER modelu zohledňuje nejen školní prostředí, ale také celkovou zkušenost jedince v jeho životě a setkávání se s historií, lze konstatovat, že úlohy usilují o přípravu žáků na reálný život.</w:t>
      </w:r>
      <w:r>
        <w:rPr>
          <w:rFonts w:ascii="Times New Roman" w:hAnsi="Times New Roman" w:cs="Times New Roman"/>
          <w:sz w:val="24"/>
          <w:szCs w:val="24"/>
        </w:rPr>
        <w:t xml:space="preserve"> Viz k tomu více HAVLUJOVÁ – NAJBRT.</w:t>
      </w:r>
      <w:r>
        <w:rPr>
          <w:rStyle w:val="Znakapoznpodarou"/>
          <w:rFonts w:ascii="Times New Roman" w:hAnsi="Times New Roman" w:cs="Times New Roman"/>
          <w:sz w:val="24"/>
          <w:szCs w:val="24"/>
        </w:rPr>
        <w:footnoteReference w:id="2"/>
      </w:r>
    </w:p>
    <w:p w14:paraId="4D46F809" w14:textId="77777777" w:rsidR="008475C0"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 xml:space="preserve">Mezipředmětové vztahy, celostní učení a </w:t>
      </w:r>
      <w:proofErr w:type="spellStart"/>
      <w:r w:rsidRPr="005A3326">
        <w:rPr>
          <w:rFonts w:ascii="Times New Roman" w:hAnsi="Times New Roman" w:cs="Times New Roman"/>
          <w:b/>
          <w:sz w:val="24"/>
          <w:szCs w:val="24"/>
        </w:rPr>
        <w:t>met</w:t>
      </w:r>
      <w:r>
        <w:rPr>
          <w:rFonts w:ascii="Times New Roman" w:hAnsi="Times New Roman" w:cs="Times New Roman"/>
          <w:b/>
          <w:sz w:val="24"/>
          <w:szCs w:val="24"/>
        </w:rPr>
        <w:t>a</w:t>
      </w:r>
      <w:r w:rsidRPr="005A3326">
        <w:rPr>
          <w:rFonts w:ascii="Times New Roman" w:hAnsi="Times New Roman" w:cs="Times New Roman"/>
          <w:b/>
          <w:sz w:val="24"/>
          <w:szCs w:val="24"/>
        </w:rPr>
        <w:t>kognitivní</w:t>
      </w:r>
      <w:proofErr w:type="spellEnd"/>
      <w:r w:rsidRPr="005A3326">
        <w:rPr>
          <w:rFonts w:ascii="Times New Roman" w:hAnsi="Times New Roman" w:cs="Times New Roman"/>
          <w:b/>
          <w:sz w:val="24"/>
          <w:szCs w:val="24"/>
        </w:rPr>
        <w:t xml:space="preserve"> rozvoj.</w:t>
      </w:r>
    </w:p>
    <w:p w14:paraId="36A65453" w14:textId="77777777" w:rsidR="008475C0" w:rsidRPr="007E31CB" w:rsidRDefault="008475C0" w:rsidP="008475C0">
      <w:pPr>
        <w:pStyle w:val="Odstavecseseznamem"/>
        <w:jc w:val="both"/>
        <w:rPr>
          <w:rFonts w:ascii="Times New Roman" w:hAnsi="Times New Roman" w:cs="Times New Roman"/>
          <w:sz w:val="24"/>
          <w:szCs w:val="24"/>
        </w:rPr>
      </w:pPr>
      <w:r w:rsidRPr="007E31CB">
        <w:rPr>
          <w:rFonts w:ascii="Times New Roman" w:hAnsi="Times New Roman" w:cs="Times New Roman"/>
          <w:sz w:val="24"/>
          <w:szCs w:val="24"/>
        </w:rPr>
        <w:t>Neučíme jen dějepis, ale spíše dějepisem.</w:t>
      </w:r>
    </w:p>
    <w:p w14:paraId="25FDD2F0" w14:textId="77777777" w:rsidR="008475C0"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Možnost výběru úrovně a možnost diferencování úloh a hodnocení dle schopností žáka</w:t>
      </w:r>
    </w:p>
    <w:p w14:paraId="1592126A" w14:textId="77777777" w:rsidR="008475C0" w:rsidRPr="00F73610" w:rsidRDefault="008475C0" w:rsidP="008475C0">
      <w:pPr>
        <w:pStyle w:val="Odstavecseseznamem"/>
        <w:jc w:val="both"/>
        <w:rPr>
          <w:rFonts w:ascii="Times New Roman" w:hAnsi="Times New Roman" w:cs="Times New Roman"/>
          <w:sz w:val="24"/>
          <w:szCs w:val="24"/>
        </w:rPr>
      </w:pPr>
      <w:r w:rsidRPr="00F73610">
        <w:rPr>
          <w:rFonts w:ascii="Times New Roman" w:hAnsi="Times New Roman" w:cs="Times New Roman"/>
          <w:sz w:val="24"/>
          <w:szCs w:val="24"/>
        </w:rPr>
        <w:lastRenderedPageBreak/>
        <w:t>Žáci by měli nejprve pracovat s jednoduššími typy cvičení, které jsou založeny na popisu jednoho pramene – historické fotografie. Postupně mohou přecházet k náročnějším typům, jež jsou založeny na kompozici pramenů, využívají větší počet digitálních nástrojů a vyžadují od žáků složitější úkony.</w:t>
      </w:r>
      <w:r>
        <w:rPr>
          <w:rFonts w:ascii="Times New Roman" w:hAnsi="Times New Roman" w:cs="Times New Roman"/>
          <w:sz w:val="24"/>
          <w:szCs w:val="24"/>
        </w:rPr>
        <w:t xml:space="preserve"> Je potřeba při zadáváni i při hodnocení respektovat různost žáků.</w:t>
      </w:r>
    </w:p>
    <w:p w14:paraId="1FD91C17" w14:textId="77777777" w:rsidR="008475C0"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Hledisko posilování kompetencí teamové práce a teamových strategií</w:t>
      </w:r>
    </w:p>
    <w:p w14:paraId="67175EF1" w14:textId="77777777" w:rsidR="008475C0" w:rsidRPr="007E31CB" w:rsidRDefault="008475C0" w:rsidP="008475C0">
      <w:pPr>
        <w:pStyle w:val="Odstavecseseznamem"/>
        <w:jc w:val="both"/>
        <w:rPr>
          <w:rFonts w:ascii="Times New Roman" w:hAnsi="Times New Roman" w:cs="Times New Roman"/>
          <w:sz w:val="24"/>
          <w:szCs w:val="24"/>
        </w:rPr>
      </w:pPr>
      <w:r w:rsidRPr="007E31CB">
        <w:rPr>
          <w:rFonts w:ascii="Times New Roman" w:hAnsi="Times New Roman" w:cs="Times New Roman"/>
          <w:sz w:val="24"/>
          <w:szCs w:val="24"/>
        </w:rPr>
        <w:t>Některé úlohy jsou vhodné pro týmovou práci, jiné pro práci individuální. Učitel využívá oba přístupy.</w:t>
      </w:r>
    </w:p>
    <w:p w14:paraId="06A2336C" w14:textId="77777777" w:rsidR="008475C0" w:rsidRDefault="008475C0" w:rsidP="008475C0">
      <w:pPr>
        <w:pStyle w:val="Odstavecseseznamem"/>
        <w:numPr>
          <w:ilvl w:val="0"/>
          <w:numId w:val="1"/>
        </w:numPr>
        <w:jc w:val="both"/>
        <w:rPr>
          <w:rFonts w:ascii="Times New Roman" w:hAnsi="Times New Roman" w:cs="Times New Roman"/>
          <w:b/>
          <w:sz w:val="24"/>
          <w:szCs w:val="24"/>
        </w:rPr>
      </w:pPr>
      <w:r w:rsidRPr="005A3326">
        <w:rPr>
          <w:rFonts w:ascii="Times New Roman" w:hAnsi="Times New Roman" w:cs="Times New Roman"/>
          <w:b/>
          <w:sz w:val="24"/>
          <w:szCs w:val="24"/>
        </w:rPr>
        <w:t xml:space="preserve">Hledisko rozvoje evaluačních a </w:t>
      </w:r>
      <w:proofErr w:type="spellStart"/>
      <w:r w:rsidRPr="005A3326">
        <w:rPr>
          <w:rFonts w:ascii="Times New Roman" w:hAnsi="Times New Roman" w:cs="Times New Roman"/>
          <w:b/>
          <w:sz w:val="24"/>
          <w:szCs w:val="24"/>
        </w:rPr>
        <w:t>sebeevaluačních</w:t>
      </w:r>
      <w:proofErr w:type="spellEnd"/>
      <w:r w:rsidRPr="005A3326">
        <w:rPr>
          <w:rFonts w:ascii="Times New Roman" w:hAnsi="Times New Roman" w:cs="Times New Roman"/>
          <w:b/>
          <w:sz w:val="24"/>
          <w:szCs w:val="24"/>
        </w:rPr>
        <w:t xml:space="preserve"> kompetencí žáků</w:t>
      </w:r>
    </w:p>
    <w:p w14:paraId="179B70FB" w14:textId="77777777" w:rsidR="008475C0" w:rsidRPr="00533B90" w:rsidRDefault="008475C0" w:rsidP="008475C0">
      <w:pPr>
        <w:pStyle w:val="Odstavecseseznamem"/>
        <w:jc w:val="both"/>
        <w:rPr>
          <w:rFonts w:ascii="Times New Roman" w:hAnsi="Times New Roman" w:cs="Times New Roman"/>
          <w:sz w:val="24"/>
          <w:szCs w:val="24"/>
        </w:rPr>
      </w:pPr>
      <w:r w:rsidRPr="00533B90">
        <w:rPr>
          <w:rFonts w:ascii="Times New Roman" w:hAnsi="Times New Roman" w:cs="Times New Roman"/>
          <w:sz w:val="24"/>
          <w:szCs w:val="24"/>
        </w:rPr>
        <w:t>Žák si musí být vědomý toho, co dělá správně, v čem chybuje a proč a jak to napravit.</w:t>
      </w:r>
      <w:r>
        <w:rPr>
          <w:rFonts w:ascii="Times New Roman" w:hAnsi="Times New Roman" w:cs="Times New Roman"/>
          <w:sz w:val="24"/>
          <w:szCs w:val="24"/>
        </w:rPr>
        <w:t xml:space="preserve"> Učí se to poznat i sám.</w:t>
      </w:r>
    </w:p>
    <w:p w14:paraId="414A103F" w14:textId="77777777" w:rsidR="008475C0" w:rsidRPr="003C00A7" w:rsidRDefault="008475C0" w:rsidP="008475C0">
      <w:pPr>
        <w:jc w:val="both"/>
        <w:rPr>
          <w:rFonts w:ascii="Times New Roman" w:hAnsi="Times New Roman" w:cs="Times New Roman"/>
          <w:b/>
          <w:sz w:val="24"/>
          <w:szCs w:val="24"/>
        </w:rPr>
      </w:pPr>
      <w:r w:rsidRPr="003C00A7">
        <w:rPr>
          <w:rFonts w:ascii="Times New Roman" w:hAnsi="Times New Roman" w:cs="Times New Roman"/>
          <w:b/>
          <w:sz w:val="24"/>
          <w:szCs w:val="24"/>
        </w:rPr>
        <w:t>Praktická kritéria pro hodnocení didaktické účinnosti výukové úlohy (návrh):</w:t>
      </w:r>
      <w:r w:rsidRPr="003C00A7">
        <w:rPr>
          <w:b/>
        </w:rPr>
        <w:t xml:space="preserve"> </w:t>
      </w:r>
    </w:p>
    <w:p w14:paraId="515E0A2A"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1. </w:t>
      </w:r>
      <w:r>
        <w:rPr>
          <w:rFonts w:ascii="Times New Roman" w:hAnsi="Times New Roman" w:cs="Times New Roman"/>
          <w:sz w:val="24"/>
          <w:szCs w:val="24"/>
        </w:rPr>
        <w:t>Je obsahově nosná. Vede k získání</w:t>
      </w:r>
      <w:r w:rsidRPr="003C00A7">
        <w:rPr>
          <w:rFonts w:ascii="Times New Roman" w:hAnsi="Times New Roman" w:cs="Times New Roman"/>
          <w:sz w:val="24"/>
          <w:szCs w:val="24"/>
        </w:rPr>
        <w:t xml:space="preserve"> </w:t>
      </w:r>
      <w:r>
        <w:rPr>
          <w:rFonts w:ascii="Times New Roman" w:hAnsi="Times New Roman" w:cs="Times New Roman"/>
          <w:sz w:val="24"/>
          <w:szCs w:val="24"/>
        </w:rPr>
        <w:t xml:space="preserve">vytčených </w:t>
      </w:r>
      <w:r w:rsidRPr="003C00A7">
        <w:rPr>
          <w:rFonts w:ascii="Times New Roman" w:hAnsi="Times New Roman" w:cs="Times New Roman"/>
          <w:sz w:val="24"/>
          <w:szCs w:val="24"/>
        </w:rPr>
        <w:t>informac</w:t>
      </w:r>
      <w:r>
        <w:rPr>
          <w:rFonts w:ascii="Times New Roman" w:hAnsi="Times New Roman" w:cs="Times New Roman"/>
          <w:sz w:val="24"/>
          <w:szCs w:val="24"/>
        </w:rPr>
        <w:t>í,</w:t>
      </w:r>
      <w:r w:rsidRPr="003C00A7">
        <w:rPr>
          <w:rFonts w:ascii="Times New Roman" w:hAnsi="Times New Roman" w:cs="Times New Roman"/>
          <w:sz w:val="24"/>
          <w:szCs w:val="24"/>
        </w:rPr>
        <w:t xml:space="preserve"> obsahově nezkreslen</w:t>
      </w:r>
      <w:r>
        <w:rPr>
          <w:rFonts w:ascii="Times New Roman" w:hAnsi="Times New Roman" w:cs="Times New Roman"/>
          <w:sz w:val="24"/>
          <w:szCs w:val="24"/>
        </w:rPr>
        <w:t>ých</w:t>
      </w:r>
      <w:r w:rsidRPr="003C00A7">
        <w:rPr>
          <w:rFonts w:ascii="Times New Roman" w:hAnsi="Times New Roman" w:cs="Times New Roman"/>
          <w:sz w:val="24"/>
          <w:szCs w:val="24"/>
        </w:rPr>
        <w:t xml:space="preserve">. </w:t>
      </w:r>
    </w:p>
    <w:p w14:paraId="1FB8DFD3"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2. Je formativně účinná, tj. rozvíjí </w:t>
      </w:r>
      <w:r>
        <w:rPr>
          <w:rFonts w:ascii="Times New Roman" w:hAnsi="Times New Roman" w:cs="Times New Roman"/>
          <w:sz w:val="24"/>
          <w:szCs w:val="24"/>
        </w:rPr>
        <w:t>vytčené</w:t>
      </w:r>
      <w:r w:rsidRPr="003C00A7">
        <w:rPr>
          <w:rFonts w:ascii="Times New Roman" w:hAnsi="Times New Roman" w:cs="Times New Roman"/>
          <w:sz w:val="24"/>
          <w:szCs w:val="24"/>
        </w:rPr>
        <w:t xml:space="preserve"> </w:t>
      </w:r>
      <w:r>
        <w:rPr>
          <w:rFonts w:ascii="Times New Roman" w:hAnsi="Times New Roman" w:cs="Times New Roman"/>
          <w:sz w:val="24"/>
          <w:szCs w:val="24"/>
        </w:rPr>
        <w:t>kompetence</w:t>
      </w:r>
      <w:r w:rsidRPr="003C00A7">
        <w:rPr>
          <w:rFonts w:ascii="Times New Roman" w:hAnsi="Times New Roman" w:cs="Times New Roman"/>
          <w:sz w:val="24"/>
          <w:szCs w:val="24"/>
        </w:rPr>
        <w:t xml:space="preserve">. </w:t>
      </w:r>
    </w:p>
    <w:p w14:paraId="126F7114"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3. Je racionálně a emotivně působivá, tj. aktivuje žáka k prožitku </w:t>
      </w:r>
      <w:r>
        <w:rPr>
          <w:rFonts w:ascii="Times New Roman" w:hAnsi="Times New Roman" w:cs="Times New Roman"/>
          <w:sz w:val="24"/>
          <w:szCs w:val="24"/>
        </w:rPr>
        <w:t xml:space="preserve">z </w:t>
      </w:r>
      <w:r w:rsidRPr="003C00A7">
        <w:rPr>
          <w:rFonts w:ascii="Times New Roman" w:hAnsi="Times New Roman" w:cs="Times New Roman"/>
          <w:sz w:val="24"/>
          <w:szCs w:val="24"/>
        </w:rPr>
        <w:t xml:space="preserve">učení a poznávání. </w:t>
      </w:r>
    </w:p>
    <w:p w14:paraId="5851D46C"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4. Respektuje systém vědy a poznání. </w:t>
      </w:r>
    </w:p>
    <w:p w14:paraId="564F0A00"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5. Je výchovná, tj. rozvíjí morální, sociální, pracovní a estetický profil žáka. </w:t>
      </w:r>
    </w:p>
    <w:p w14:paraId="313F88E1" w14:textId="77777777" w:rsidR="008475C0"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 xml:space="preserve">6. Je přirozená ve svém průběhu i důsledcích. </w:t>
      </w:r>
    </w:p>
    <w:p w14:paraId="6D72E246" w14:textId="77777777" w:rsidR="008475C0" w:rsidRDefault="008475C0" w:rsidP="008475C0">
      <w:pPr>
        <w:jc w:val="both"/>
        <w:rPr>
          <w:rFonts w:ascii="Times New Roman" w:hAnsi="Times New Roman" w:cs="Times New Roman"/>
          <w:sz w:val="24"/>
          <w:szCs w:val="24"/>
        </w:rPr>
      </w:pPr>
      <w:r>
        <w:rPr>
          <w:rFonts w:ascii="Times New Roman" w:hAnsi="Times New Roman" w:cs="Times New Roman"/>
          <w:sz w:val="24"/>
          <w:szCs w:val="24"/>
        </w:rPr>
        <w:t>7</w:t>
      </w:r>
      <w:r w:rsidRPr="003C00A7">
        <w:rPr>
          <w:rFonts w:ascii="Times New Roman" w:hAnsi="Times New Roman" w:cs="Times New Roman"/>
          <w:sz w:val="24"/>
          <w:szCs w:val="24"/>
        </w:rPr>
        <w:t xml:space="preserve">. Je adekvátní žákům. </w:t>
      </w:r>
    </w:p>
    <w:p w14:paraId="6B5F7CA8" w14:textId="77777777" w:rsidR="008475C0" w:rsidRDefault="008475C0" w:rsidP="008475C0">
      <w:pPr>
        <w:jc w:val="both"/>
        <w:rPr>
          <w:rFonts w:ascii="Times New Roman" w:hAnsi="Times New Roman" w:cs="Times New Roman"/>
          <w:sz w:val="24"/>
          <w:szCs w:val="24"/>
        </w:rPr>
      </w:pPr>
      <w:r>
        <w:rPr>
          <w:rFonts w:ascii="Times New Roman" w:hAnsi="Times New Roman" w:cs="Times New Roman"/>
          <w:sz w:val="24"/>
          <w:szCs w:val="24"/>
        </w:rPr>
        <w:t>8</w:t>
      </w:r>
      <w:r w:rsidRPr="003C00A7">
        <w:rPr>
          <w:rFonts w:ascii="Times New Roman" w:hAnsi="Times New Roman" w:cs="Times New Roman"/>
          <w:sz w:val="24"/>
          <w:szCs w:val="24"/>
        </w:rPr>
        <w:t xml:space="preserve">. Je adekvátní učiteli. </w:t>
      </w:r>
    </w:p>
    <w:p w14:paraId="493E2228" w14:textId="77777777" w:rsidR="008475C0" w:rsidRDefault="008475C0" w:rsidP="008475C0">
      <w:pPr>
        <w:jc w:val="both"/>
        <w:rPr>
          <w:rFonts w:ascii="Times New Roman" w:hAnsi="Times New Roman" w:cs="Times New Roman"/>
          <w:sz w:val="24"/>
          <w:szCs w:val="24"/>
        </w:rPr>
      </w:pPr>
      <w:r>
        <w:rPr>
          <w:rFonts w:ascii="Times New Roman" w:hAnsi="Times New Roman" w:cs="Times New Roman"/>
          <w:sz w:val="24"/>
          <w:szCs w:val="24"/>
        </w:rPr>
        <w:t>9</w:t>
      </w:r>
      <w:r w:rsidRPr="003C00A7">
        <w:rPr>
          <w:rFonts w:ascii="Times New Roman" w:hAnsi="Times New Roman" w:cs="Times New Roman"/>
          <w:sz w:val="24"/>
          <w:szCs w:val="24"/>
        </w:rPr>
        <w:t xml:space="preserve">. Je didakticky ekonomická. </w:t>
      </w:r>
    </w:p>
    <w:p w14:paraId="6FB12C60" w14:textId="77777777" w:rsidR="008475C0" w:rsidRPr="00EC5CFB" w:rsidRDefault="008475C0" w:rsidP="008475C0">
      <w:pPr>
        <w:jc w:val="both"/>
        <w:rPr>
          <w:rFonts w:ascii="Times New Roman" w:hAnsi="Times New Roman" w:cs="Times New Roman"/>
          <w:sz w:val="24"/>
          <w:szCs w:val="24"/>
        </w:rPr>
      </w:pPr>
      <w:r w:rsidRPr="003C00A7">
        <w:rPr>
          <w:rFonts w:ascii="Times New Roman" w:hAnsi="Times New Roman" w:cs="Times New Roman"/>
          <w:sz w:val="24"/>
          <w:szCs w:val="24"/>
        </w:rPr>
        <w:t>1</w:t>
      </w:r>
      <w:r>
        <w:rPr>
          <w:rFonts w:ascii="Times New Roman" w:hAnsi="Times New Roman" w:cs="Times New Roman"/>
          <w:sz w:val="24"/>
          <w:szCs w:val="24"/>
        </w:rPr>
        <w:t>0</w:t>
      </w:r>
      <w:r w:rsidRPr="003C00A7">
        <w:rPr>
          <w:rFonts w:ascii="Times New Roman" w:hAnsi="Times New Roman" w:cs="Times New Roman"/>
          <w:sz w:val="24"/>
          <w:szCs w:val="24"/>
        </w:rPr>
        <w:t>. Je hygienická.</w:t>
      </w:r>
    </w:p>
    <w:p w14:paraId="7B004287" w14:textId="77777777" w:rsidR="008475C0" w:rsidRPr="00D843D5" w:rsidRDefault="008475C0" w:rsidP="008475C0">
      <w:pPr>
        <w:jc w:val="both"/>
        <w:rPr>
          <w:rFonts w:ascii="Times New Roman" w:hAnsi="Times New Roman" w:cs="Times New Roman"/>
          <w:b/>
          <w:sz w:val="24"/>
          <w:szCs w:val="24"/>
        </w:rPr>
      </w:pPr>
    </w:p>
    <w:p w14:paraId="5405255C" w14:textId="77777777" w:rsidR="008475C0" w:rsidRPr="005A3326" w:rsidRDefault="008475C0" w:rsidP="008475C0">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t>Typy a doporučení pro tvorbu efektivních úloh</w:t>
      </w:r>
      <w:r w:rsidRPr="005A3326">
        <w:rPr>
          <w:rStyle w:val="Znakapoznpodarou"/>
          <w:rFonts w:ascii="Times New Roman" w:hAnsi="Times New Roman" w:cs="Times New Roman"/>
          <w:b/>
          <w:color w:val="FF0000"/>
          <w:sz w:val="24"/>
          <w:szCs w:val="24"/>
        </w:rPr>
        <w:footnoteReference w:id="3"/>
      </w:r>
    </w:p>
    <w:p w14:paraId="64771F0C" w14:textId="77777777" w:rsidR="008475C0" w:rsidRPr="005A3326" w:rsidRDefault="008475C0" w:rsidP="008475C0">
      <w:pPr>
        <w:jc w:val="both"/>
        <w:rPr>
          <w:rFonts w:ascii="Times New Roman" w:hAnsi="Times New Roman" w:cs="Times New Roman"/>
          <w:b/>
          <w:i/>
          <w:sz w:val="24"/>
          <w:szCs w:val="24"/>
        </w:rPr>
      </w:pPr>
      <w:r w:rsidRPr="005A3326">
        <w:rPr>
          <w:rFonts w:ascii="Times New Roman" w:hAnsi="Times New Roman" w:cs="Times New Roman"/>
          <w:b/>
          <w:i/>
          <w:sz w:val="24"/>
          <w:szCs w:val="24"/>
        </w:rPr>
        <w:t>„Zvýšit poměr úloh směřujících k řešení na vyšší úrovni kognitivních operací,</w:t>
      </w:r>
    </w:p>
    <w:p w14:paraId="48EF0D63"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Minimalizovat zastoupení úloh k reprodukci faktů. Velkou předností jsou v tomto případě operátory. Doporučujeme jasně vymezit činnost, která je od žáka při řešení úlohy očekávána právě vysvětlením činných sloves (např. co se očekává při zadání vysvětli, popiš, porovnej apod.).</w:t>
      </w:r>
    </w:p>
    <w:p w14:paraId="15E17CBD"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Zohledňovat při koncipování úloh hledisko jejich provázanosti</w:t>
      </w:r>
      <w:r w:rsidRPr="005A3326">
        <w:rPr>
          <w:rFonts w:ascii="Times New Roman" w:hAnsi="Times New Roman" w:cs="Times New Roman"/>
          <w:i/>
          <w:sz w:val="24"/>
          <w:szCs w:val="24"/>
        </w:rPr>
        <w:t xml:space="preserve"> a možných benefitů z postupného zvyšování kognitivní úrovně a kumulativního učení. Propojování znalostí a postupné rozšiřování pohledu je v souladu s žádoucím principem </w:t>
      </w:r>
      <w:proofErr w:type="spellStart"/>
      <w:r w:rsidRPr="005A3326">
        <w:rPr>
          <w:rFonts w:ascii="Times New Roman" w:hAnsi="Times New Roman" w:cs="Times New Roman"/>
          <w:i/>
          <w:sz w:val="24"/>
          <w:szCs w:val="24"/>
        </w:rPr>
        <w:t>multiperspektivity</w:t>
      </w:r>
      <w:proofErr w:type="spellEnd"/>
      <w:r w:rsidRPr="005A3326">
        <w:rPr>
          <w:rFonts w:ascii="Times New Roman" w:hAnsi="Times New Roman" w:cs="Times New Roman"/>
          <w:i/>
          <w:sz w:val="24"/>
          <w:szCs w:val="24"/>
        </w:rPr>
        <w:t xml:space="preserve"> ve výuce dějepisu.</w:t>
      </w:r>
    </w:p>
    <w:p w14:paraId="067B161C"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Cílit úlohy</w:t>
      </w:r>
      <w:r w:rsidRPr="005A3326">
        <w:rPr>
          <w:rFonts w:ascii="Times New Roman" w:hAnsi="Times New Roman" w:cs="Times New Roman"/>
          <w:i/>
          <w:sz w:val="24"/>
          <w:szCs w:val="24"/>
        </w:rPr>
        <w:t xml:space="preserve"> </w:t>
      </w:r>
      <w:r w:rsidRPr="005A3326">
        <w:rPr>
          <w:rFonts w:ascii="Times New Roman" w:hAnsi="Times New Roman" w:cs="Times New Roman"/>
          <w:b/>
          <w:i/>
          <w:sz w:val="24"/>
          <w:szCs w:val="24"/>
        </w:rPr>
        <w:t>nejen na faktické poznatky, ale také</w:t>
      </w:r>
      <w:r w:rsidRPr="005A3326">
        <w:rPr>
          <w:rFonts w:ascii="Times New Roman" w:hAnsi="Times New Roman" w:cs="Times New Roman"/>
          <w:i/>
          <w:sz w:val="24"/>
          <w:szCs w:val="24"/>
        </w:rPr>
        <w:t xml:space="preserve"> </w:t>
      </w:r>
      <w:r w:rsidRPr="005A3326">
        <w:rPr>
          <w:rFonts w:ascii="Times New Roman" w:hAnsi="Times New Roman" w:cs="Times New Roman"/>
          <w:b/>
          <w:i/>
          <w:sz w:val="24"/>
          <w:szCs w:val="24"/>
        </w:rPr>
        <w:t>na další znalostní dimenze</w:t>
      </w:r>
      <w:r w:rsidRPr="005A3326">
        <w:rPr>
          <w:rFonts w:ascii="Times New Roman" w:hAnsi="Times New Roman" w:cs="Times New Roman"/>
          <w:i/>
          <w:sz w:val="24"/>
          <w:szCs w:val="24"/>
        </w:rPr>
        <w:t>,</w:t>
      </w:r>
    </w:p>
    <w:p w14:paraId="3B0BF388"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lastRenderedPageBreak/>
        <w:t xml:space="preserve">tj. konceptuální, procedurální a v neposlední řadě </w:t>
      </w:r>
      <w:proofErr w:type="spellStart"/>
      <w:r w:rsidRPr="005A3326">
        <w:rPr>
          <w:rFonts w:ascii="Times New Roman" w:hAnsi="Times New Roman" w:cs="Times New Roman"/>
          <w:i/>
          <w:sz w:val="24"/>
          <w:szCs w:val="24"/>
        </w:rPr>
        <w:t>metakognitivní</w:t>
      </w:r>
      <w:proofErr w:type="spellEnd"/>
      <w:r w:rsidRPr="005A3326">
        <w:rPr>
          <w:rFonts w:ascii="Times New Roman" w:hAnsi="Times New Roman" w:cs="Times New Roman"/>
          <w:i/>
          <w:sz w:val="24"/>
          <w:szCs w:val="24"/>
        </w:rPr>
        <w:t>. Reflexe vlastní cesty a cílů poznání představuje velmi cenný motivační prvek sebe/vzdělávání a přispívá k celoživotnímu učení. U úloh k sestavení referátů či samostatné rešerši materiálů, které jsme řadili k procedurálním poznatkům, nabídnout žákům doporučenou literaturu nebo zdroje, dále také strukturu či klíčová slova, která by měl žák ve své práce zohlednit. Vyvarovat se široce pojatým úlohám bez bližší specifikace typu Udělej si referát.</w:t>
      </w:r>
    </w:p>
    <w:p w14:paraId="548A8D8F"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Formulovat úlohy</w:t>
      </w:r>
      <w:r w:rsidRPr="005A3326">
        <w:rPr>
          <w:rFonts w:ascii="Times New Roman" w:hAnsi="Times New Roman" w:cs="Times New Roman"/>
          <w:i/>
          <w:sz w:val="24"/>
          <w:szCs w:val="24"/>
        </w:rPr>
        <w:t xml:space="preserve"> </w:t>
      </w:r>
      <w:r w:rsidRPr="005A3326">
        <w:rPr>
          <w:rFonts w:ascii="Times New Roman" w:hAnsi="Times New Roman" w:cs="Times New Roman"/>
          <w:b/>
          <w:i/>
          <w:sz w:val="24"/>
          <w:szCs w:val="24"/>
        </w:rPr>
        <w:t xml:space="preserve">tak, aby umožňovaly učení diverzifikovat. </w:t>
      </w:r>
      <w:r w:rsidRPr="005A3326">
        <w:rPr>
          <w:rFonts w:ascii="Times New Roman" w:hAnsi="Times New Roman" w:cs="Times New Roman"/>
          <w:i/>
          <w:sz w:val="24"/>
          <w:szCs w:val="24"/>
        </w:rPr>
        <w:t>Jednak v rovině organizace práce, ale také v rovině možných řešení. Žáci by měli mít možnost a příležitost zabývat se úlohami, které lze vypracovat samostatně, ve dvojici či skupině. Pro dané uspořádání práce žákům i učitelům nabídnout doporučené postupy (např. různé podoby skupinové práce jako expertní skupiny apod.) Část úloh by měla být otevřena různým řešením, tj. nabídnout žákům možnost sestavit odpověď na základě svých argumentů založených na analýze pramenů. Neočekávat jednu správnou odpověď. Vyvarovat se zadání úloh směřujícím k odpovědi ano, ne (Znáš nějakou knihu, která pojednává o třicetileté válce? Znáš biblický příběh o Davidovi,</w:t>
      </w:r>
      <w:r>
        <w:rPr>
          <w:rFonts w:ascii="Times New Roman" w:hAnsi="Times New Roman" w:cs="Times New Roman"/>
          <w:i/>
          <w:sz w:val="24"/>
          <w:szCs w:val="24"/>
        </w:rPr>
        <w:t xml:space="preserve"> </w:t>
      </w:r>
      <w:r w:rsidRPr="005A3326">
        <w:rPr>
          <w:rFonts w:ascii="Times New Roman" w:hAnsi="Times New Roman" w:cs="Times New Roman"/>
          <w:i/>
          <w:sz w:val="24"/>
          <w:szCs w:val="24"/>
        </w:rPr>
        <w:t>kterého socha znázorňuje?)</w:t>
      </w:r>
    </w:p>
    <w:p w14:paraId="62658907" w14:textId="77777777" w:rsidR="008475C0"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Zařazovat ve větší míře úlohy, které budou mít vazbu na reálný svět, zkušenost žáků.</w:t>
      </w:r>
      <w:r w:rsidRPr="005A3326">
        <w:rPr>
          <w:rFonts w:ascii="Times New Roman" w:hAnsi="Times New Roman" w:cs="Times New Roman"/>
          <w:i/>
          <w:sz w:val="24"/>
          <w:szCs w:val="24"/>
        </w:rPr>
        <w:t xml:space="preserve"> Takové úlohy jsou pro žáky motivační a podněcují jejich chuť se historií zabývat.</w:t>
      </w:r>
      <w:r w:rsidRPr="005A3326">
        <w:rPr>
          <w:rFonts w:ascii="Times New Roman" w:hAnsi="Times New Roman" w:cs="Times New Roman"/>
          <w:b/>
          <w:i/>
          <w:sz w:val="24"/>
          <w:szCs w:val="24"/>
        </w:rPr>
        <w:t xml:space="preserve"> </w:t>
      </w:r>
      <w:r w:rsidRPr="005A3326">
        <w:rPr>
          <w:rFonts w:ascii="Times New Roman" w:hAnsi="Times New Roman" w:cs="Times New Roman"/>
          <w:i/>
          <w:sz w:val="24"/>
          <w:szCs w:val="24"/>
        </w:rPr>
        <w:t>Zbavuje dějepisnou výuku stigmatu „mrtvého“ předmětu, který není pro současnost relevantní.“</w:t>
      </w:r>
    </w:p>
    <w:p w14:paraId="6C46C8D4" w14:textId="77777777" w:rsidR="008475C0" w:rsidRDefault="008475C0" w:rsidP="008475C0">
      <w:pPr>
        <w:jc w:val="both"/>
        <w:rPr>
          <w:rFonts w:ascii="Times New Roman" w:hAnsi="Times New Roman" w:cs="Times New Roman"/>
          <w:b/>
          <w:i/>
          <w:sz w:val="24"/>
          <w:szCs w:val="24"/>
        </w:rPr>
      </w:pPr>
    </w:p>
    <w:p w14:paraId="72934D72" w14:textId="77777777" w:rsidR="008475C0" w:rsidRPr="006C47BA" w:rsidRDefault="008475C0" w:rsidP="008475C0">
      <w:pPr>
        <w:jc w:val="both"/>
        <w:rPr>
          <w:rFonts w:ascii="Times New Roman" w:hAnsi="Times New Roman" w:cs="Times New Roman"/>
          <w:b/>
          <w:color w:val="FF0000"/>
          <w:sz w:val="24"/>
          <w:szCs w:val="24"/>
        </w:rPr>
      </w:pPr>
      <w:r w:rsidRPr="006C47BA">
        <w:rPr>
          <w:rFonts w:ascii="Times New Roman" w:hAnsi="Times New Roman" w:cs="Times New Roman"/>
          <w:b/>
          <w:color w:val="FF0000"/>
          <w:sz w:val="24"/>
          <w:szCs w:val="24"/>
        </w:rPr>
        <w:t>Další typy např.</w:t>
      </w:r>
    </w:p>
    <w:p w14:paraId="180F05ED" w14:textId="77777777" w:rsidR="008475C0" w:rsidRDefault="008475C0" w:rsidP="008475C0">
      <w:pPr>
        <w:jc w:val="both"/>
        <w:rPr>
          <w:rFonts w:ascii="Times New Roman" w:hAnsi="Times New Roman" w:cs="Times New Roman"/>
          <w:sz w:val="24"/>
          <w:szCs w:val="24"/>
        </w:rPr>
      </w:pPr>
      <w:r w:rsidRPr="008A5745">
        <w:rPr>
          <w:rFonts w:ascii="Times New Roman" w:hAnsi="Times New Roman" w:cs="Times New Roman"/>
          <w:sz w:val="24"/>
          <w:szCs w:val="24"/>
        </w:rPr>
        <w:t xml:space="preserve">KOL. AUTORŮ. </w:t>
      </w:r>
      <w:r w:rsidRPr="008A5745">
        <w:rPr>
          <w:rFonts w:ascii="Times New Roman" w:hAnsi="Times New Roman" w:cs="Times New Roman"/>
          <w:i/>
          <w:sz w:val="24"/>
          <w:szCs w:val="24"/>
        </w:rPr>
        <w:t>Promýšlet dějepis v 21. století.</w:t>
      </w:r>
      <w:r w:rsidRPr="008A5745">
        <w:rPr>
          <w:rFonts w:ascii="Times New Roman" w:hAnsi="Times New Roman" w:cs="Times New Roman"/>
          <w:sz w:val="24"/>
          <w:szCs w:val="24"/>
        </w:rPr>
        <w:t xml:space="preserve"> </w:t>
      </w:r>
    </w:p>
    <w:p w14:paraId="13632426" w14:textId="77777777" w:rsidR="008475C0" w:rsidRDefault="008475C0" w:rsidP="008475C0">
      <w:pPr>
        <w:jc w:val="both"/>
        <w:rPr>
          <w:rFonts w:ascii="Times New Roman" w:hAnsi="Times New Roman" w:cs="Times New Roman"/>
          <w:sz w:val="24"/>
          <w:szCs w:val="24"/>
        </w:rPr>
      </w:pPr>
      <w:r w:rsidRPr="008A5745">
        <w:rPr>
          <w:rFonts w:ascii="Times New Roman" w:hAnsi="Times New Roman" w:cs="Times New Roman"/>
          <w:sz w:val="24"/>
          <w:szCs w:val="24"/>
        </w:rPr>
        <w:t>Dostupné z:</w:t>
      </w:r>
    </w:p>
    <w:p w14:paraId="5D6E917B" w14:textId="77777777" w:rsidR="008475C0" w:rsidRPr="008A5745" w:rsidRDefault="008475C0" w:rsidP="008475C0">
      <w:pPr>
        <w:jc w:val="both"/>
        <w:rPr>
          <w:rFonts w:ascii="Times New Roman" w:hAnsi="Times New Roman" w:cs="Times New Roman"/>
          <w:sz w:val="24"/>
          <w:szCs w:val="24"/>
        </w:rPr>
      </w:pPr>
      <w:r w:rsidRPr="008A5745">
        <w:rPr>
          <w:rFonts w:ascii="Times New Roman" w:hAnsi="Times New Roman" w:cs="Times New Roman"/>
          <w:sz w:val="24"/>
          <w:szCs w:val="24"/>
        </w:rPr>
        <w:t xml:space="preserve"> https://www.researchgate.net/profile/Vojtech-Ripka/publication/323129672_Promyslet_dejepis_v_21_stoleti_Digitalni_aplikace_pro_praci_s_prameny_HistoryLabcz/links/5bd17abc299bf14eac833aec/Promyslet-dejepis-v-21-stoleti-Digitalni-aplikace-pro-praci-s-prameny-HistoryLabcz.pdf</w:t>
      </w:r>
    </w:p>
    <w:p w14:paraId="75D0070E" w14:textId="77777777" w:rsidR="008475C0" w:rsidRPr="005A3326" w:rsidRDefault="008475C0" w:rsidP="008475C0">
      <w:pPr>
        <w:jc w:val="both"/>
        <w:rPr>
          <w:rFonts w:ascii="Times New Roman" w:hAnsi="Times New Roman" w:cs="Times New Roman"/>
          <w:b/>
          <w:sz w:val="24"/>
          <w:szCs w:val="24"/>
        </w:rPr>
      </w:pPr>
    </w:p>
    <w:p w14:paraId="48AB8917" w14:textId="77777777" w:rsidR="008475C0" w:rsidRPr="005A3326" w:rsidRDefault="008475C0" w:rsidP="008475C0">
      <w:pPr>
        <w:jc w:val="both"/>
        <w:rPr>
          <w:rFonts w:ascii="Times New Roman" w:hAnsi="Times New Roman" w:cs="Times New Roman"/>
          <w:color w:val="FF0000"/>
          <w:sz w:val="24"/>
          <w:szCs w:val="24"/>
        </w:rPr>
      </w:pPr>
    </w:p>
    <w:p w14:paraId="77B70B7F" w14:textId="77777777" w:rsidR="008475C0" w:rsidRPr="00F32934" w:rsidRDefault="008475C0" w:rsidP="008475C0">
      <w:pPr>
        <w:jc w:val="both"/>
        <w:rPr>
          <w:rFonts w:ascii="Times New Roman" w:hAnsi="Times New Roman" w:cs="Times New Roman"/>
          <w:b/>
          <w:color w:val="FF0000"/>
          <w:sz w:val="28"/>
          <w:szCs w:val="28"/>
        </w:rPr>
      </w:pPr>
      <w:r w:rsidRPr="00F32934">
        <w:rPr>
          <w:rFonts w:ascii="Times New Roman" w:hAnsi="Times New Roman" w:cs="Times New Roman"/>
          <w:b/>
          <w:color w:val="FF0000"/>
          <w:sz w:val="28"/>
          <w:szCs w:val="28"/>
        </w:rPr>
        <w:t>III. Metodika reflexe a sebereflexe efektivity uplatněných učebních úloh ve výuce na ZŠ</w:t>
      </w:r>
    </w:p>
    <w:p w14:paraId="444106AA" w14:textId="77777777" w:rsidR="008475C0" w:rsidRPr="005A3326" w:rsidRDefault="008475C0" w:rsidP="008475C0">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t>Kritéria hodnocení:</w:t>
      </w:r>
    </w:p>
    <w:p w14:paraId="0DA98798" w14:textId="77777777" w:rsidR="008475C0" w:rsidRPr="005A3326" w:rsidRDefault="008475C0" w:rsidP="008475C0">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Asistovaná sebereflexe studentů po absolvování pedagogické praxe, kde byly úlohy ověřovány ve výuce žáků ZŠ a následná mentorovaná teamová diskuse v semináři HIPO1</w:t>
      </w:r>
    </w:p>
    <w:p w14:paraId="3BC391E9" w14:textId="77777777" w:rsidR="008475C0" w:rsidRPr="005A3326" w:rsidRDefault="008475C0" w:rsidP="008475C0">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Návrh kritérií pro hodnocení realizace učebních úloh v praxi:</w:t>
      </w:r>
      <w:r w:rsidRPr="005A3326">
        <w:rPr>
          <w:rStyle w:val="Znakapoznpodarou"/>
          <w:rFonts w:ascii="Times New Roman" w:hAnsi="Times New Roman" w:cs="Times New Roman"/>
          <w:color w:val="FF0000"/>
          <w:sz w:val="24"/>
          <w:szCs w:val="24"/>
        </w:rPr>
        <w:footnoteReference w:id="4"/>
      </w:r>
    </w:p>
    <w:p w14:paraId="58C15A41" w14:textId="77777777" w:rsidR="008475C0" w:rsidRPr="005A3326" w:rsidRDefault="008475C0" w:rsidP="008475C0">
      <w:pPr>
        <w:jc w:val="both"/>
        <w:rPr>
          <w:rFonts w:ascii="Times New Roman" w:hAnsi="Times New Roman" w:cs="Times New Roman"/>
          <w:i/>
          <w:sz w:val="24"/>
          <w:szCs w:val="24"/>
        </w:rPr>
      </w:pPr>
      <w:r>
        <w:rPr>
          <w:rFonts w:ascii="Times New Roman" w:hAnsi="Times New Roman" w:cs="Times New Roman"/>
          <w:b/>
          <w:i/>
          <w:sz w:val="24"/>
          <w:szCs w:val="24"/>
        </w:rPr>
        <w:t>„</w:t>
      </w:r>
      <w:r w:rsidRPr="005A3326">
        <w:rPr>
          <w:rFonts w:ascii="Times New Roman" w:hAnsi="Times New Roman" w:cs="Times New Roman"/>
          <w:b/>
          <w:i/>
          <w:sz w:val="24"/>
          <w:szCs w:val="24"/>
        </w:rPr>
        <w:t>A. Dimenze relevance</w:t>
      </w:r>
      <w:r w:rsidRPr="005A3326">
        <w:rPr>
          <w:rFonts w:ascii="Times New Roman" w:hAnsi="Times New Roman" w:cs="Times New Roman"/>
          <w:i/>
          <w:sz w:val="24"/>
          <w:szCs w:val="24"/>
        </w:rPr>
        <w:t xml:space="preserve"> se týká výběru učiva vzhledem ke vzdělávacím cílům a</w:t>
      </w:r>
    </w:p>
    <w:p w14:paraId="0CB05BD0"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lastRenderedPageBreak/>
        <w:t>v propojení s kurikulem. Zahrnuje i zajištění, aby realizované kurikulum odpovídalo</w:t>
      </w:r>
    </w:p>
    <w:p w14:paraId="64BEF920"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zamýšlenému kurikulu, propojení kurikula mezi ročníky a třídami; a zajištění, aby</w:t>
      </w:r>
    </w:p>
    <w:p w14:paraId="0D68342B"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obsah výuky odpovídal obsahu didaktických testů a dalších hodnotících nástrojů.</w:t>
      </w:r>
    </w:p>
    <w:p w14:paraId="71A60C8A"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Tento poslední aspekt je obvykle popisován jako „příležitost k učení“ (viz výše).</w:t>
      </w:r>
    </w:p>
    <w:p w14:paraId="0A3C0FCF"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B. Dimenze času</w:t>
      </w:r>
      <w:r w:rsidRPr="005A3326">
        <w:rPr>
          <w:rFonts w:ascii="Times New Roman" w:hAnsi="Times New Roman" w:cs="Times New Roman"/>
          <w:i/>
          <w:sz w:val="24"/>
          <w:szCs w:val="24"/>
        </w:rPr>
        <w:t xml:space="preserve"> se týká jednak alokovaného času, jednak „čistého vyučovacího času“,</w:t>
      </w:r>
    </w:p>
    <w:p w14:paraId="3D372D79"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který může být definován jako oficiální vyučovací čas mínus čas „ztracený“ jinými</w:t>
      </w:r>
    </w:p>
    <w:p w14:paraId="08D85A6B"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aktivitami. Konečně čas „strávený při práci na učebních úlohách“, který je vyjádřením</w:t>
      </w:r>
    </w:p>
    <w:p w14:paraId="6F117E14"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dobu, kdy jsou žáci aktivně zapojeni do výukových aktivit.</w:t>
      </w:r>
    </w:p>
    <w:p w14:paraId="0D1EC2D9"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b/>
          <w:i/>
          <w:sz w:val="24"/>
          <w:szCs w:val="24"/>
        </w:rPr>
        <w:t>C. Dimenze struktury</w:t>
      </w:r>
      <w:r w:rsidRPr="005A3326">
        <w:rPr>
          <w:rFonts w:ascii="Times New Roman" w:hAnsi="Times New Roman" w:cs="Times New Roman"/>
          <w:i/>
          <w:sz w:val="24"/>
          <w:szCs w:val="24"/>
        </w:rPr>
        <w:t xml:space="preserve"> je určitou vyučovací „technologií“ (v procedurálním smyslu, tedy</w:t>
      </w:r>
    </w:p>
    <w:p w14:paraId="7025C2CA"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ne ve smyslu aplikace informačních technologií). Strukturované vyučování v takových</w:t>
      </w:r>
    </w:p>
    <w:p w14:paraId="73AEB5EB"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formách, jako je „zvládající učení“ prokázalo ve studiích efektivity výuky pozitivní</w:t>
      </w:r>
    </w:p>
    <w:p w14:paraId="1085E000"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výsledky, obzvláště pro znevýhodněné žáky na prvním stupni základních škol, ale také</w:t>
      </w:r>
    </w:p>
    <w:p w14:paraId="7AEF1B91"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na vyšších stupních při výuce dovedností vyšší kognitivní úrovně. Na základě</w:t>
      </w:r>
    </w:p>
    <w:p w14:paraId="42017306"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poznatků inspirovaných konstruktivismem by tato dimenze měla být viděna jako</w:t>
      </w:r>
    </w:p>
    <w:p w14:paraId="4CA69601"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kontinuum probíhající od poskytování pevné struktury a „</w:t>
      </w:r>
      <w:proofErr w:type="spellStart"/>
      <w:r w:rsidRPr="005A3326">
        <w:rPr>
          <w:rFonts w:ascii="Times New Roman" w:hAnsi="Times New Roman" w:cs="Times New Roman"/>
          <w:i/>
          <w:sz w:val="24"/>
          <w:szCs w:val="24"/>
        </w:rPr>
        <w:t>scaffoldingu</w:t>
      </w:r>
      <w:proofErr w:type="spellEnd"/>
      <w:r w:rsidRPr="005A3326">
        <w:rPr>
          <w:rFonts w:ascii="Times New Roman" w:hAnsi="Times New Roman" w:cs="Times New Roman"/>
          <w:i/>
          <w:sz w:val="24"/>
          <w:szCs w:val="24"/>
        </w:rPr>
        <w:t>“ učebního</w:t>
      </w:r>
    </w:p>
    <w:p w14:paraId="2DD582A0"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procesu až k poskytování samostatnosti žákům. Efektivní vyučování potom může být</w:t>
      </w:r>
    </w:p>
    <w:p w14:paraId="7300FAEE"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chápáno jako správná úroveň přiměřená studijním předpokladům žáků, učebním</w:t>
      </w:r>
    </w:p>
    <w:p w14:paraId="07A76F41"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úlohám a vzdělávacím cílům. Dimenze struktury také zahrnuje časté monitorování</w:t>
      </w:r>
    </w:p>
    <w:p w14:paraId="3D63CE94"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pokroků žáka a poskytování zpětné vazby a povzbuzování podle výsledků hodnocení.</w:t>
      </w:r>
    </w:p>
    <w:p w14:paraId="38F8E5EC"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V tomto smyslu se nejedná pouze o poskytování kognitivní podpory, ale také o</w:t>
      </w:r>
    </w:p>
    <w:p w14:paraId="3F9966A0" w14:textId="77777777" w:rsidR="008475C0" w:rsidRPr="005A3326"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podporu žákovy angažovanosti. Přizpůsobování náročnosti specifickým potřebám</w:t>
      </w:r>
    </w:p>
    <w:p w14:paraId="7B02E46F" w14:textId="77777777" w:rsidR="008475C0" w:rsidRDefault="008475C0" w:rsidP="008475C0">
      <w:pPr>
        <w:jc w:val="both"/>
        <w:rPr>
          <w:rFonts w:ascii="Times New Roman" w:hAnsi="Times New Roman" w:cs="Times New Roman"/>
          <w:i/>
          <w:sz w:val="24"/>
          <w:szCs w:val="24"/>
        </w:rPr>
      </w:pPr>
      <w:r w:rsidRPr="005A3326">
        <w:rPr>
          <w:rFonts w:ascii="Times New Roman" w:hAnsi="Times New Roman" w:cs="Times New Roman"/>
          <w:i/>
          <w:sz w:val="24"/>
          <w:szCs w:val="24"/>
        </w:rPr>
        <w:t>žáků může být také specifickým aspektem strukturování vyučování.</w:t>
      </w:r>
      <w:r>
        <w:rPr>
          <w:rFonts w:ascii="Times New Roman" w:hAnsi="Times New Roman" w:cs="Times New Roman"/>
          <w:i/>
          <w:sz w:val="24"/>
          <w:szCs w:val="24"/>
        </w:rPr>
        <w:t>“</w:t>
      </w:r>
    </w:p>
    <w:p w14:paraId="39026E23" w14:textId="77777777" w:rsidR="008475C0" w:rsidRDefault="008475C0" w:rsidP="008475C0">
      <w:pPr>
        <w:jc w:val="both"/>
        <w:rPr>
          <w:rFonts w:ascii="Times New Roman" w:hAnsi="Times New Roman" w:cs="Times New Roman"/>
          <w:b/>
          <w:color w:val="FF0000"/>
          <w:sz w:val="32"/>
          <w:szCs w:val="32"/>
        </w:rPr>
      </w:pPr>
    </w:p>
    <w:p w14:paraId="2D47F947" w14:textId="77777777" w:rsidR="009431A4" w:rsidRDefault="009431A4"/>
    <w:sectPr w:rsidR="009431A4" w:rsidSect="00171AAB">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63162" w14:textId="77777777" w:rsidR="003D5C26" w:rsidRDefault="003D5C26" w:rsidP="008475C0">
      <w:pPr>
        <w:spacing w:after="0" w:line="240" w:lineRule="auto"/>
      </w:pPr>
      <w:r>
        <w:separator/>
      </w:r>
    </w:p>
  </w:endnote>
  <w:endnote w:type="continuationSeparator" w:id="0">
    <w:p w14:paraId="5A33062C" w14:textId="77777777" w:rsidR="003D5C26" w:rsidRDefault="003D5C26" w:rsidP="0084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879890"/>
      <w:docPartObj>
        <w:docPartGallery w:val="Page Numbers (Bottom of Page)"/>
        <w:docPartUnique/>
      </w:docPartObj>
    </w:sdtPr>
    <w:sdtContent>
      <w:p w14:paraId="7B55E5C4" w14:textId="6ED42E75" w:rsidR="00171AAB" w:rsidRDefault="00171AAB">
        <w:pPr>
          <w:pStyle w:val="Zpat"/>
          <w:jc w:val="right"/>
        </w:pPr>
        <w:r>
          <w:fldChar w:fldCharType="begin"/>
        </w:r>
        <w:r>
          <w:instrText>PAGE   \* MERGEFORMAT</w:instrText>
        </w:r>
        <w:r>
          <w:fldChar w:fldCharType="separate"/>
        </w:r>
        <w:r>
          <w:t>2</w:t>
        </w:r>
        <w:r>
          <w:fldChar w:fldCharType="end"/>
        </w:r>
        <w:r>
          <w:t>/4</w:t>
        </w:r>
      </w:p>
    </w:sdtContent>
  </w:sdt>
  <w:p w14:paraId="4B31C6BD" w14:textId="77777777" w:rsidR="00171AAB" w:rsidRDefault="00171A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1321E" w14:textId="77777777" w:rsidR="003D5C26" w:rsidRDefault="003D5C26" w:rsidP="008475C0">
      <w:pPr>
        <w:spacing w:after="0" w:line="240" w:lineRule="auto"/>
      </w:pPr>
      <w:r>
        <w:separator/>
      </w:r>
    </w:p>
  </w:footnote>
  <w:footnote w:type="continuationSeparator" w:id="0">
    <w:p w14:paraId="116FCB40" w14:textId="77777777" w:rsidR="003D5C26" w:rsidRDefault="003D5C26" w:rsidP="008475C0">
      <w:pPr>
        <w:spacing w:after="0" w:line="240" w:lineRule="auto"/>
      </w:pPr>
      <w:r>
        <w:continuationSeparator/>
      </w:r>
    </w:p>
  </w:footnote>
  <w:footnote w:id="1">
    <w:p w14:paraId="713D959D" w14:textId="77777777" w:rsidR="008475C0" w:rsidRPr="00D0518B" w:rsidRDefault="008475C0" w:rsidP="008475C0">
      <w:pPr>
        <w:pStyle w:val="Textpoznpodarou"/>
        <w:rPr>
          <w:rFonts w:ascii="Times New Roman" w:hAnsi="Times New Roman" w:cs="Times New Roman"/>
        </w:rPr>
      </w:pPr>
      <w:r w:rsidRPr="00D0518B">
        <w:rPr>
          <w:rStyle w:val="Znakapoznpodarou"/>
          <w:rFonts w:ascii="Times New Roman" w:hAnsi="Times New Roman" w:cs="Times New Roman"/>
        </w:rPr>
        <w:footnoteRef/>
      </w:r>
      <w:r w:rsidRPr="00D0518B">
        <w:rPr>
          <w:rFonts w:ascii="Times New Roman" w:hAnsi="Times New Roman" w:cs="Times New Roman"/>
        </w:rPr>
        <w:t xml:space="preserve"> </w:t>
      </w:r>
      <w:r w:rsidRPr="00A33036">
        <w:rPr>
          <w:rFonts w:ascii="Times New Roman" w:hAnsi="Times New Roman" w:cs="Times New Roman"/>
        </w:rPr>
        <w:t xml:space="preserve">SCHREIBER, Waltraud – KÖRBER, Andreas – BORRIES, Bodo von – KRAMMER, Reinhard – LEITNER-RAMME, </w:t>
      </w:r>
      <w:proofErr w:type="spellStart"/>
      <w:r w:rsidRPr="00A33036">
        <w:rPr>
          <w:rFonts w:ascii="Times New Roman" w:hAnsi="Times New Roman" w:cs="Times New Roman"/>
        </w:rPr>
        <w:t>Sibylla</w:t>
      </w:r>
      <w:proofErr w:type="spellEnd"/>
      <w:r w:rsidRPr="00A33036">
        <w:rPr>
          <w:rFonts w:ascii="Times New Roman" w:hAnsi="Times New Roman" w:cs="Times New Roman"/>
        </w:rPr>
        <w:t xml:space="preserve"> – MEBUS, Sylvia a kol.: </w:t>
      </w:r>
      <w:proofErr w:type="spellStart"/>
      <w:r w:rsidRPr="00A33036">
        <w:rPr>
          <w:rFonts w:ascii="Times New Roman" w:hAnsi="Times New Roman" w:cs="Times New Roman"/>
        </w:rPr>
        <w:t>Historisches</w:t>
      </w:r>
      <w:proofErr w:type="spellEnd"/>
      <w:r w:rsidRPr="00A33036">
        <w:rPr>
          <w:rFonts w:ascii="Times New Roman" w:hAnsi="Times New Roman" w:cs="Times New Roman"/>
        </w:rPr>
        <w:t xml:space="preserve"> </w:t>
      </w:r>
      <w:proofErr w:type="spellStart"/>
      <w:r w:rsidRPr="00A33036">
        <w:rPr>
          <w:rFonts w:ascii="Times New Roman" w:hAnsi="Times New Roman" w:cs="Times New Roman"/>
        </w:rPr>
        <w:t>Denken</w:t>
      </w:r>
      <w:proofErr w:type="spellEnd"/>
      <w:r w:rsidRPr="00A33036">
        <w:rPr>
          <w:rFonts w:ascii="Times New Roman" w:hAnsi="Times New Roman" w:cs="Times New Roman"/>
        </w:rPr>
        <w:t xml:space="preserve">. </w:t>
      </w:r>
      <w:proofErr w:type="spellStart"/>
      <w:r w:rsidRPr="00A33036">
        <w:rPr>
          <w:rFonts w:ascii="Times New Roman" w:hAnsi="Times New Roman" w:cs="Times New Roman"/>
        </w:rPr>
        <w:t>Ein</w:t>
      </w:r>
      <w:proofErr w:type="spellEnd"/>
      <w:r w:rsidRPr="00A33036">
        <w:rPr>
          <w:rFonts w:ascii="Times New Roman" w:hAnsi="Times New Roman" w:cs="Times New Roman"/>
        </w:rPr>
        <w:t xml:space="preserve"> </w:t>
      </w:r>
      <w:proofErr w:type="spellStart"/>
      <w:r w:rsidRPr="00A33036">
        <w:rPr>
          <w:rFonts w:ascii="Times New Roman" w:hAnsi="Times New Roman" w:cs="Times New Roman"/>
        </w:rPr>
        <w:t>Kompetenz-Strukturmodell</w:t>
      </w:r>
      <w:proofErr w:type="spellEnd"/>
      <w:r w:rsidRPr="00A33036">
        <w:rPr>
          <w:rFonts w:ascii="Times New Roman" w:hAnsi="Times New Roman" w:cs="Times New Roman"/>
        </w:rPr>
        <w:t>. </w:t>
      </w:r>
      <w:proofErr w:type="spellStart"/>
      <w:r w:rsidRPr="00A33036">
        <w:rPr>
          <w:rFonts w:ascii="Times New Roman" w:hAnsi="Times New Roman" w:cs="Times New Roman"/>
        </w:rPr>
        <w:t>Neuried</w:t>
      </w:r>
      <w:proofErr w:type="spellEnd"/>
      <w:r w:rsidRPr="00A33036">
        <w:rPr>
          <w:rFonts w:ascii="Times New Roman" w:hAnsi="Times New Roman" w:cs="Times New Roman"/>
        </w:rPr>
        <w:t xml:space="preserve"> 2006, s. 56.)</w:t>
      </w:r>
    </w:p>
  </w:footnote>
  <w:footnote w:id="2">
    <w:p w14:paraId="62A19E0C" w14:textId="77777777" w:rsidR="008475C0" w:rsidRDefault="008475C0" w:rsidP="008475C0">
      <w:pPr>
        <w:pStyle w:val="Textpoznpodarou"/>
      </w:pPr>
      <w:r>
        <w:rPr>
          <w:rStyle w:val="Znakapoznpodarou"/>
        </w:rPr>
        <w:footnoteRef/>
      </w:r>
      <w:r>
        <w:t xml:space="preserve"> HAVLUJOVÁ, Hana – NAJBRT, Jaroslav. Proměna cílů historického vzdělávání v čase nových médií. Dostupné z: </w:t>
      </w:r>
      <w:r w:rsidRPr="00E578F5">
        <w:t>https://metodika.historylab.cz/kapitola/ucebnice-a-historicke-vzdelavani-pro-21-stoleti/promena-cilu-historickeho-vzdelavani-v-case-novych-medii/</w:t>
      </w:r>
      <w:r>
        <w:t>.</w:t>
      </w:r>
    </w:p>
  </w:footnote>
  <w:footnote w:id="3">
    <w:p w14:paraId="6D390F7E" w14:textId="77777777" w:rsidR="008475C0" w:rsidRPr="005A3326" w:rsidRDefault="008475C0" w:rsidP="008475C0">
      <w:pPr>
        <w:pStyle w:val="Textpoznpodarou"/>
        <w:rPr>
          <w:rFonts w:ascii="Times New Roman" w:hAnsi="Times New Roman" w:cs="Times New Roman"/>
        </w:rPr>
      </w:pPr>
      <w:r w:rsidRPr="005A3326">
        <w:rPr>
          <w:rStyle w:val="Znakapoznpodarou"/>
          <w:rFonts w:ascii="Times New Roman" w:hAnsi="Times New Roman" w:cs="Times New Roman"/>
        </w:rPr>
        <w:footnoteRef/>
      </w:r>
      <w:r w:rsidRPr="005A3326">
        <w:rPr>
          <w:rFonts w:ascii="Times New Roman" w:hAnsi="Times New Roman" w:cs="Times New Roman"/>
        </w:rPr>
        <w:t xml:space="preserve"> JANKOVÁ, Julie, Místo pramenů a úloh v českých a zahraničních učebnicích a ve výuce dějepisu, dizertační práce, OSU Ostrava, 2022.</w:t>
      </w:r>
    </w:p>
  </w:footnote>
  <w:footnote w:id="4">
    <w:p w14:paraId="41144C82" w14:textId="77777777" w:rsidR="008475C0" w:rsidRPr="005A3326" w:rsidRDefault="008475C0" w:rsidP="008475C0">
      <w:pPr>
        <w:pStyle w:val="Textpoznpodarou"/>
        <w:rPr>
          <w:rFonts w:ascii="Times New Roman" w:hAnsi="Times New Roman" w:cs="Times New Roman"/>
        </w:rPr>
      </w:pPr>
      <w:r w:rsidRPr="005A3326">
        <w:rPr>
          <w:rStyle w:val="Znakapoznpodarou"/>
          <w:rFonts w:ascii="Times New Roman" w:hAnsi="Times New Roman" w:cs="Times New Roman"/>
        </w:rPr>
        <w:footnoteRef/>
      </w:r>
      <w:r w:rsidRPr="005A3326">
        <w:rPr>
          <w:rFonts w:ascii="Times New Roman" w:hAnsi="Times New Roman" w:cs="Times New Roman"/>
        </w:rPr>
        <w:t xml:space="preserve"> SCHEERENS, </w:t>
      </w:r>
      <w:proofErr w:type="spellStart"/>
      <w:r w:rsidRPr="005A3326">
        <w:rPr>
          <w:rFonts w:ascii="Times New Roman" w:hAnsi="Times New Roman" w:cs="Times New Roman"/>
        </w:rPr>
        <w:t>Jaap</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Review</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of</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school</w:t>
      </w:r>
      <w:proofErr w:type="spellEnd"/>
      <w:r w:rsidRPr="005A3326">
        <w:rPr>
          <w:rFonts w:ascii="Times New Roman" w:hAnsi="Times New Roman" w:cs="Times New Roman"/>
        </w:rPr>
        <w:t xml:space="preserve"> and </w:t>
      </w:r>
      <w:proofErr w:type="spellStart"/>
      <w:r w:rsidRPr="005A3326">
        <w:rPr>
          <w:rFonts w:ascii="Times New Roman" w:hAnsi="Times New Roman" w:cs="Times New Roman"/>
        </w:rPr>
        <w:t>instructional</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effectiveness</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research</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Paper</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commissioned</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for</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the</w:t>
      </w:r>
      <w:proofErr w:type="spellEnd"/>
      <w:r w:rsidRPr="005A3326">
        <w:rPr>
          <w:rFonts w:ascii="Times New Roman" w:hAnsi="Times New Roman" w:cs="Times New Roman"/>
        </w:rPr>
        <w:t xml:space="preserve"> EFA </w:t>
      </w:r>
      <w:proofErr w:type="spellStart"/>
      <w:r w:rsidRPr="005A3326">
        <w:rPr>
          <w:rFonts w:ascii="Times New Roman" w:hAnsi="Times New Roman" w:cs="Times New Roman"/>
        </w:rPr>
        <w:t>Global</w:t>
      </w:r>
      <w:proofErr w:type="spellEnd"/>
      <w:r w:rsidRPr="005A3326">
        <w:rPr>
          <w:rFonts w:ascii="Times New Roman" w:hAnsi="Times New Roman" w:cs="Times New Roman"/>
        </w:rPr>
        <w:t xml:space="preserve"> Monitoring Report 2005, </w:t>
      </w:r>
      <w:proofErr w:type="spellStart"/>
      <w:r w:rsidRPr="005A3326">
        <w:rPr>
          <w:rFonts w:ascii="Times New Roman" w:hAnsi="Times New Roman" w:cs="Times New Roman"/>
        </w:rPr>
        <w:t>The</w:t>
      </w:r>
      <w:proofErr w:type="spellEnd"/>
      <w:r w:rsidRPr="005A3326">
        <w:rPr>
          <w:rFonts w:ascii="Times New Roman" w:hAnsi="Times New Roman" w:cs="Times New Roman"/>
        </w:rPr>
        <w:t xml:space="preserve"> </w:t>
      </w:r>
      <w:proofErr w:type="spellStart"/>
      <w:r w:rsidRPr="005A3326">
        <w:rPr>
          <w:rFonts w:ascii="Times New Roman" w:hAnsi="Times New Roman" w:cs="Times New Roman"/>
        </w:rPr>
        <w:t>Quality</w:t>
      </w:r>
      <w:proofErr w:type="spellEnd"/>
      <w:r w:rsidRPr="005A3326">
        <w:rPr>
          <w:rFonts w:ascii="Times New Roman" w:hAnsi="Times New Roman" w:cs="Times New Roman"/>
        </w:rPr>
        <w:t xml:space="preserve"> Imperative. UNESCO,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402C7"/>
    <w:multiLevelType w:val="hybridMultilevel"/>
    <w:tmpl w:val="42F62E5E"/>
    <w:lvl w:ilvl="0" w:tplc="4E1286EA">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12927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C0"/>
    <w:rsid w:val="00171AAB"/>
    <w:rsid w:val="003D5C26"/>
    <w:rsid w:val="008475C0"/>
    <w:rsid w:val="009431A4"/>
    <w:rsid w:val="00D758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1A15A"/>
  <w15:chartTrackingRefBased/>
  <w15:docId w15:val="{7494B5EC-6DAD-460F-A6CE-3B97EB62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75C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475C0"/>
    <w:pPr>
      <w:ind w:left="720"/>
      <w:contextualSpacing/>
    </w:pPr>
  </w:style>
  <w:style w:type="character" w:styleId="Hypertextovodkaz">
    <w:name w:val="Hyperlink"/>
    <w:basedOn w:val="Standardnpsmoodstavce"/>
    <w:uiPriority w:val="99"/>
    <w:unhideWhenUsed/>
    <w:rsid w:val="008475C0"/>
    <w:rPr>
      <w:color w:val="0563C1" w:themeColor="hyperlink"/>
      <w:u w:val="single"/>
    </w:rPr>
  </w:style>
  <w:style w:type="paragraph" w:styleId="Textpoznpodarou">
    <w:name w:val="footnote text"/>
    <w:basedOn w:val="Normln"/>
    <w:link w:val="TextpoznpodarouChar"/>
    <w:uiPriority w:val="99"/>
    <w:semiHidden/>
    <w:unhideWhenUsed/>
    <w:rsid w:val="008475C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475C0"/>
    <w:rPr>
      <w:sz w:val="20"/>
      <w:szCs w:val="20"/>
    </w:rPr>
  </w:style>
  <w:style w:type="character" w:styleId="Znakapoznpodarou">
    <w:name w:val="footnote reference"/>
    <w:basedOn w:val="Standardnpsmoodstavce"/>
    <w:uiPriority w:val="99"/>
    <w:semiHidden/>
    <w:unhideWhenUsed/>
    <w:rsid w:val="008475C0"/>
    <w:rPr>
      <w:vertAlign w:val="superscript"/>
    </w:rPr>
  </w:style>
  <w:style w:type="paragraph" w:styleId="Zhlav">
    <w:name w:val="header"/>
    <w:basedOn w:val="Normln"/>
    <w:link w:val="ZhlavChar"/>
    <w:uiPriority w:val="99"/>
    <w:unhideWhenUsed/>
    <w:rsid w:val="00171AA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1AAB"/>
  </w:style>
  <w:style w:type="paragraph" w:styleId="Zpat">
    <w:name w:val="footer"/>
    <w:basedOn w:val="Normln"/>
    <w:link w:val="ZpatChar"/>
    <w:uiPriority w:val="99"/>
    <w:unhideWhenUsed/>
    <w:rsid w:val="00171AAB"/>
    <w:pPr>
      <w:tabs>
        <w:tab w:val="center" w:pos="4536"/>
        <w:tab w:val="right" w:pos="9072"/>
      </w:tabs>
      <w:spacing w:after="0" w:line="240" w:lineRule="auto"/>
    </w:pPr>
  </w:style>
  <w:style w:type="character" w:customStyle="1" w:styleId="ZpatChar">
    <w:name w:val="Zápatí Char"/>
    <w:basedOn w:val="Standardnpsmoodstavce"/>
    <w:link w:val="Zpat"/>
    <w:uiPriority w:val="99"/>
    <w:rsid w:val="00171AAB"/>
  </w:style>
  <w:style w:type="paragraph" w:styleId="Bezmezer">
    <w:name w:val="No Spacing"/>
    <w:link w:val="BezmezerChar"/>
    <w:uiPriority w:val="1"/>
    <w:qFormat/>
    <w:rsid w:val="00171AAB"/>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71AAB"/>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1207</Words>
  <Characters>7125</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Naděžda Morávková</dc:creator>
  <cp:keywords/>
  <dc:description/>
  <cp:lastModifiedBy>Jana Műllerová</cp:lastModifiedBy>
  <cp:revision>2</cp:revision>
  <dcterms:created xsi:type="dcterms:W3CDTF">2022-12-17T18:18:00Z</dcterms:created>
  <dcterms:modified xsi:type="dcterms:W3CDTF">2022-12-17T18:18:00Z</dcterms:modified>
</cp:coreProperties>
</file>