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286D" w14:textId="77777777" w:rsidR="00835A57" w:rsidRDefault="00835A57">
      <w:pPr>
        <w:rPr>
          <w:b/>
          <w:sz w:val="32"/>
          <w:szCs w:val="32"/>
        </w:rPr>
      </w:pPr>
    </w:p>
    <w:p w14:paraId="2354A48D" w14:textId="3ABEE8E7" w:rsidR="00835A57" w:rsidRDefault="00835A57">
      <w:pPr>
        <w:rPr>
          <w:b/>
          <w:sz w:val="32"/>
          <w:szCs w:val="32"/>
        </w:rPr>
      </w:pPr>
      <w:r>
        <w:rPr>
          <w:b/>
          <w:sz w:val="32"/>
          <w:szCs w:val="32"/>
        </w:rPr>
        <w:br w:type="page"/>
      </w:r>
      <w:r>
        <w:rPr>
          <w:rFonts w:ascii="Cambria" w:eastAsia="Cambria" w:hAnsi="Cambria" w:cs="Cambria"/>
          <w:noProof/>
          <w:color w:val="366091"/>
          <w:sz w:val="26"/>
          <w:szCs w:val="26"/>
        </w:rPr>
        <w:drawing>
          <wp:anchor distT="0" distB="0" distL="114300" distR="114300" simplePos="0" relativeHeight="251659264" behindDoc="0" locked="0" layoutInCell="1" allowOverlap="1" wp14:anchorId="48F9BB43" wp14:editId="2F91CEE9">
            <wp:simplePos x="0" y="0"/>
            <wp:positionH relativeFrom="margin">
              <wp:posOffset>0</wp:posOffset>
            </wp:positionH>
            <wp:positionV relativeFrom="margin">
              <wp:posOffset>737235</wp:posOffset>
            </wp:positionV>
            <wp:extent cx="5760720" cy="3413346"/>
            <wp:effectExtent l="0" t="0" r="5080" b="317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5">
                      <a:extLst>
                        <a:ext uri="{28A0092B-C50C-407E-A947-70E740481C1C}">
                          <a14:useLocalDpi xmlns:a14="http://schemas.microsoft.com/office/drawing/2010/main" val="0"/>
                        </a:ext>
                      </a:extLst>
                    </a:blip>
                    <a:stretch>
                      <a:fillRect/>
                    </a:stretch>
                  </pic:blipFill>
                  <pic:spPr>
                    <a:xfrm>
                      <a:off x="0" y="0"/>
                      <a:ext cx="5760720" cy="3413346"/>
                    </a:xfrm>
                    <a:prstGeom prst="rect">
                      <a:avLst/>
                    </a:prstGeom>
                  </pic:spPr>
                </pic:pic>
              </a:graphicData>
            </a:graphic>
          </wp:anchor>
        </w:drawing>
      </w:r>
    </w:p>
    <w:p w14:paraId="00000001" w14:textId="77777777" w:rsidR="001A72B5" w:rsidRDefault="00000000">
      <w:pPr>
        <w:rPr>
          <w:b/>
          <w:sz w:val="32"/>
          <w:szCs w:val="32"/>
        </w:rPr>
      </w:pPr>
      <w:r>
        <w:rPr>
          <w:b/>
          <w:sz w:val="32"/>
          <w:szCs w:val="32"/>
        </w:rPr>
        <w:lastRenderedPageBreak/>
        <w:t>Observations</w:t>
      </w:r>
    </w:p>
    <w:p w14:paraId="00000002" w14:textId="77777777" w:rsidR="001A72B5" w:rsidRDefault="001A72B5"/>
    <w:p w14:paraId="00000003" w14:textId="77777777" w:rsidR="001A72B5" w:rsidRDefault="00000000">
      <w:pPr>
        <w:pBdr>
          <w:top w:val="nil"/>
          <w:left w:val="nil"/>
          <w:bottom w:val="nil"/>
          <w:right w:val="nil"/>
          <w:between w:val="nil"/>
        </w:pBdr>
        <w:spacing w:after="0" w:line="240" w:lineRule="auto"/>
        <w:rPr>
          <w:color w:val="000000"/>
        </w:rPr>
      </w:pPr>
      <w:r>
        <w:rPr>
          <w:color w:val="000000"/>
        </w:rPr>
        <w:t>Being observed:  If you ask somebody to come to observe your lesson, select one of the areas for your observer to focus on. You are familiar with the forms for you used the forms during your fall observations</w:t>
      </w:r>
    </w:p>
    <w:p w14:paraId="00000004" w14:textId="77777777" w:rsidR="001A72B5" w:rsidRDefault="001A72B5">
      <w:pPr>
        <w:pBdr>
          <w:top w:val="nil"/>
          <w:left w:val="nil"/>
          <w:bottom w:val="nil"/>
          <w:right w:val="nil"/>
          <w:between w:val="nil"/>
        </w:pBdr>
        <w:spacing w:after="0" w:line="240" w:lineRule="auto"/>
        <w:rPr>
          <w:color w:val="000000"/>
        </w:rPr>
      </w:pPr>
    </w:p>
    <w:p w14:paraId="00000005" w14:textId="77777777" w:rsidR="001A72B5" w:rsidRDefault="00000000">
      <w:pPr>
        <w:pBdr>
          <w:top w:val="nil"/>
          <w:left w:val="nil"/>
          <w:bottom w:val="nil"/>
          <w:right w:val="nil"/>
          <w:between w:val="nil"/>
        </w:pBdr>
        <w:spacing w:after="0" w:line="240" w:lineRule="auto"/>
        <w:rPr>
          <w:color w:val="000000"/>
        </w:rPr>
      </w:pPr>
      <w:r>
        <w:rPr>
          <w:color w:val="000000"/>
        </w:rPr>
        <w:t>•</w:t>
      </w:r>
      <w:r>
        <w:rPr>
          <w:color w:val="000000"/>
        </w:rPr>
        <w:tab/>
        <w:t>Planning – evidence of effective lesson planning and preparation</w:t>
      </w:r>
    </w:p>
    <w:p w14:paraId="00000006" w14:textId="77777777" w:rsidR="001A72B5" w:rsidRDefault="00000000">
      <w:pPr>
        <w:pBdr>
          <w:top w:val="nil"/>
          <w:left w:val="nil"/>
          <w:bottom w:val="nil"/>
          <w:right w:val="nil"/>
          <w:between w:val="nil"/>
        </w:pBdr>
        <w:spacing w:after="0" w:line="240" w:lineRule="auto"/>
        <w:rPr>
          <w:color w:val="000000"/>
        </w:rPr>
      </w:pPr>
      <w:r>
        <w:rPr>
          <w:color w:val="000000"/>
        </w:rPr>
        <w:t>•</w:t>
      </w:r>
      <w:r>
        <w:rPr>
          <w:color w:val="000000"/>
        </w:rPr>
        <w:tab/>
        <w:t>Instructing – effective language and lesson objective scaffolding</w:t>
      </w:r>
    </w:p>
    <w:p w14:paraId="00000007" w14:textId="77777777" w:rsidR="001A72B5" w:rsidRDefault="00000000">
      <w:pPr>
        <w:pBdr>
          <w:top w:val="nil"/>
          <w:left w:val="nil"/>
          <w:bottom w:val="nil"/>
          <w:right w:val="nil"/>
          <w:between w:val="nil"/>
        </w:pBdr>
        <w:spacing w:after="0" w:line="240" w:lineRule="auto"/>
        <w:rPr>
          <w:color w:val="000000"/>
        </w:rPr>
      </w:pPr>
      <w:r>
        <w:rPr>
          <w:color w:val="000000"/>
        </w:rPr>
        <w:t>•</w:t>
      </w:r>
      <w:r>
        <w:rPr>
          <w:color w:val="000000"/>
        </w:rPr>
        <w:tab/>
        <w:t xml:space="preserve">Learning </w:t>
      </w:r>
    </w:p>
    <w:p w14:paraId="00000008" w14:textId="77777777" w:rsidR="001A72B5" w:rsidRDefault="00000000">
      <w:pPr>
        <w:pBdr>
          <w:top w:val="nil"/>
          <w:left w:val="nil"/>
          <w:bottom w:val="nil"/>
          <w:right w:val="nil"/>
          <w:between w:val="nil"/>
        </w:pBdr>
        <w:spacing w:after="0" w:line="240" w:lineRule="auto"/>
        <w:rPr>
          <w:color w:val="000000"/>
        </w:rPr>
      </w:pPr>
      <w:r>
        <w:rPr>
          <w:color w:val="000000"/>
        </w:rPr>
        <w:t>•</w:t>
      </w:r>
      <w:r>
        <w:rPr>
          <w:color w:val="000000"/>
        </w:rPr>
        <w:tab/>
        <w:t>Interpersonal dynamics – supportive environment that engages all learners</w:t>
      </w:r>
    </w:p>
    <w:p w14:paraId="00000009" w14:textId="77777777" w:rsidR="001A72B5" w:rsidRDefault="00000000">
      <w:pPr>
        <w:pBdr>
          <w:top w:val="nil"/>
          <w:left w:val="nil"/>
          <w:bottom w:val="nil"/>
          <w:right w:val="nil"/>
          <w:between w:val="nil"/>
        </w:pBdr>
        <w:spacing w:after="0" w:line="240" w:lineRule="auto"/>
        <w:rPr>
          <w:color w:val="000000"/>
        </w:rPr>
      </w:pPr>
      <w:r>
        <w:rPr>
          <w:color w:val="000000"/>
        </w:rPr>
        <w:t>•</w:t>
      </w:r>
      <w:r>
        <w:rPr>
          <w:color w:val="000000"/>
        </w:rPr>
        <w:tab/>
        <w:t>The teacher and learners – performance in class</w:t>
      </w:r>
    </w:p>
    <w:p w14:paraId="0000000A" w14:textId="77777777" w:rsidR="001A72B5" w:rsidRDefault="001A72B5">
      <w:pPr>
        <w:pBdr>
          <w:top w:val="nil"/>
          <w:left w:val="nil"/>
          <w:bottom w:val="nil"/>
          <w:right w:val="nil"/>
          <w:between w:val="nil"/>
        </w:pBdr>
        <w:spacing w:after="0" w:line="240" w:lineRule="auto"/>
        <w:rPr>
          <w:color w:val="000000"/>
        </w:rPr>
      </w:pPr>
    </w:p>
    <w:p w14:paraId="0000000B" w14:textId="77777777" w:rsidR="001A72B5" w:rsidRDefault="00000000">
      <w:pPr>
        <w:pBdr>
          <w:top w:val="nil"/>
          <w:left w:val="nil"/>
          <w:bottom w:val="nil"/>
          <w:right w:val="nil"/>
          <w:between w:val="nil"/>
        </w:pBdr>
        <w:spacing w:after="0" w:line="240" w:lineRule="auto"/>
        <w:rPr>
          <w:color w:val="000000"/>
        </w:rPr>
      </w:pPr>
      <w:r>
        <w:rPr>
          <w:color w:val="000000"/>
        </w:rPr>
        <w:t xml:space="preserve">Observing: Use the observation form that your peer selects. Feel free to note down any other comments and/or questions about the lesson that would be valuable to your peer. </w:t>
      </w:r>
    </w:p>
    <w:p w14:paraId="0000000C" w14:textId="77777777" w:rsidR="001A72B5" w:rsidRDefault="001A72B5">
      <w:pPr>
        <w:pBdr>
          <w:top w:val="nil"/>
          <w:left w:val="nil"/>
          <w:bottom w:val="nil"/>
          <w:right w:val="nil"/>
          <w:between w:val="nil"/>
        </w:pBdr>
        <w:spacing w:after="0" w:line="240" w:lineRule="auto"/>
        <w:rPr>
          <w:color w:val="000000"/>
        </w:rPr>
      </w:pPr>
    </w:p>
    <w:p w14:paraId="0000000D" w14:textId="77777777" w:rsidR="001A72B5" w:rsidRDefault="00000000">
      <w:pPr>
        <w:pBdr>
          <w:top w:val="nil"/>
          <w:left w:val="nil"/>
          <w:bottom w:val="nil"/>
          <w:right w:val="nil"/>
          <w:between w:val="nil"/>
        </w:pBdr>
        <w:spacing w:after="0" w:line="240" w:lineRule="auto"/>
        <w:rPr>
          <w:color w:val="000000"/>
        </w:rPr>
      </w:pPr>
      <w:r>
        <w:rPr>
          <w:color w:val="000000"/>
        </w:rPr>
        <w:t xml:space="preserve">Shortly after the lesson, meet and reflect on the lesson using the criteria in the observation tasks. Discuss other elements that you would consider valuable. Please, be supportive of each other. Consider ration 5:1 – 5 appreciations and 1 constructive piece of advice.  It is always good to allow the one being observed first talk about the lesson.  </w:t>
      </w:r>
      <w:proofErr w:type="gramStart"/>
      <w:r>
        <w:rPr>
          <w:color w:val="000000"/>
        </w:rPr>
        <w:t>These question</w:t>
      </w:r>
      <w:proofErr w:type="gramEnd"/>
      <w:r>
        <w:rPr>
          <w:color w:val="000000"/>
        </w:rPr>
        <w:t xml:space="preserve"> could help you get started:</w:t>
      </w:r>
    </w:p>
    <w:p w14:paraId="0000000E" w14:textId="77777777" w:rsidR="001A72B5" w:rsidRDefault="001A72B5">
      <w:pPr>
        <w:pBdr>
          <w:top w:val="nil"/>
          <w:left w:val="nil"/>
          <w:bottom w:val="nil"/>
          <w:right w:val="nil"/>
          <w:between w:val="nil"/>
        </w:pBdr>
        <w:spacing w:after="0" w:line="240" w:lineRule="auto"/>
        <w:rPr>
          <w:color w:val="000000"/>
        </w:rPr>
      </w:pPr>
    </w:p>
    <w:p w14:paraId="0000000F" w14:textId="77777777" w:rsidR="001A72B5" w:rsidRDefault="00000000">
      <w:pPr>
        <w:numPr>
          <w:ilvl w:val="0"/>
          <w:numId w:val="1"/>
        </w:numPr>
        <w:pBdr>
          <w:top w:val="nil"/>
          <w:left w:val="nil"/>
          <w:bottom w:val="nil"/>
          <w:right w:val="nil"/>
          <w:between w:val="nil"/>
        </w:pBdr>
        <w:spacing w:after="0" w:line="240" w:lineRule="auto"/>
      </w:pPr>
      <w:r>
        <w:rPr>
          <w:color w:val="000000"/>
        </w:rPr>
        <w:t xml:space="preserve">Jak se </w:t>
      </w:r>
      <w:proofErr w:type="spellStart"/>
      <w:r>
        <w:rPr>
          <w:color w:val="000000"/>
        </w:rPr>
        <w:t>ti</w:t>
      </w:r>
      <w:proofErr w:type="spellEnd"/>
      <w:r>
        <w:rPr>
          <w:color w:val="000000"/>
        </w:rPr>
        <w:t xml:space="preserve"> </w:t>
      </w:r>
      <w:proofErr w:type="spellStart"/>
      <w:r>
        <w:rPr>
          <w:color w:val="000000"/>
        </w:rPr>
        <w:t>dnes</w:t>
      </w:r>
      <w:proofErr w:type="spellEnd"/>
      <w:r>
        <w:rPr>
          <w:color w:val="000000"/>
        </w:rPr>
        <w:t xml:space="preserve"> v </w:t>
      </w:r>
      <w:proofErr w:type="spellStart"/>
      <w:r>
        <w:rPr>
          <w:color w:val="000000"/>
        </w:rPr>
        <w:t>hodině</w:t>
      </w:r>
      <w:proofErr w:type="spellEnd"/>
      <w:r>
        <w:rPr>
          <w:color w:val="000000"/>
        </w:rPr>
        <w:t xml:space="preserve"> </w:t>
      </w:r>
      <w:proofErr w:type="spellStart"/>
      <w:r>
        <w:rPr>
          <w:color w:val="000000"/>
        </w:rPr>
        <w:t>dařilo</w:t>
      </w:r>
      <w:proofErr w:type="spellEnd"/>
      <w:r>
        <w:rPr>
          <w:color w:val="000000"/>
        </w:rPr>
        <w:t xml:space="preserve"> </w:t>
      </w:r>
      <w:proofErr w:type="spellStart"/>
      <w:r>
        <w:rPr>
          <w:color w:val="000000"/>
        </w:rPr>
        <w:t>realizovat</w:t>
      </w:r>
      <w:proofErr w:type="spellEnd"/>
      <w:r>
        <w:rPr>
          <w:color w:val="000000"/>
        </w:rPr>
        <w:t xml:space="preserve"> </w:t>
      </w:r>
      <w:proofErr w:type="spellStart"/>
      <w:r>
        <w:rPr>
          <w:color w:val="000000"/>
        </w:rPr>
        <w:t>věci</w:t>
      </w:r>
      <w:proofErr w:type="spellEnd"/>
      <w:r>
        <w:rPr>
          <w:color w:val="000000"/>
        </w:rPr>
        <w:t>/</w:t>
      </w:r>
      <w:proofErr w:type="spellStart"/>
      <w:r>
        <w:rPr>
          <w:color w:val="000000"/>
        </w:rPr>
        <w:t>naplnit</w:t>
      </w:r>
      <w:proofErr w:type="spellEnd"/>
      <w:r>
        <w:rPr>
          <w:color w:val="000000"/>
        </w:rPr>
        <w:t xml:space="preserve"> </w:t>
      </w:r>
      <w:proofErr w:type="spellStart"/>
      <w:r>
        <w:rPr>
          <w:color w:val="000000"/>
        </w:rPr>
        <w:t>cíl</w:t>
      </w:r>
      <w:proofErr w:type="spellEnd"/>
      <w:r>
        <w:rPr>
          <w:color w:val="000000"/>
        </w:rPr>
        <w:t xml:space="preserve">/e, </w:t>
      </w:r>
      <w:proofErr w:type="spellStart"/>
      <w:r>
        <w:rPr>
          <w:color w:val="000000"/>
        </w:rPr>
        <w:t>které</w:t>
      </w:r>
      <w:proofErr w:type="spellEnd"/>
      <w:r>
        <w:rPr>
          <w:color w:val="000000"/>
        </w:rPr>
        <w:t xml:space="preserve"> sis </w:t>
      </w:r>
      <w:proofErr w:type="spellStart"/>
      <w:r>
        <w:rPr>
          <w:color w:val="000000"/>
        </w:rPr>
        <w:t>naplánoval</w:t>
      </w:r>
      <w:proofErr w:type="spellEnd"/>
      <w:r>
        <w:rPr>
          <w:color w:val="000000"/>
        </w:rPr>
        <w:t>/a?</w:t>
      </w:r>
    </w:p>
    <w:p w14:paraId="00000010" w14:textId="77777777" w:rsidR="001A72B5" w:rsidRDefault="00000000">
      <w:pPr>
        <w:numPr>
          <w:ilvl w:val="0"/>
          <w:numId w:val="1"/>
        </w:numPr>
        <w:pBdr>
          <w:top w:val="nil"/>
          <w:left w:val="nil"/>
          <w:bottom w:val="nil"/>
          <w:right w:val="nil"/>
          <w:between w:val="nil"/>
        </w:pBdr>
        <w:spacing w:after="0" w:line="240" w:lineRule="auto"/>
      </w:pPr>
      <w:r>
        <w:rPr>
          <w:color w:val="000000"/>
        </w:rPr>
        <w:t xml:space="preserve">Co </w:t>
      </w:r>
      <w:proofErr w:type="spellStart"/>
      <w:r>
        <w:rPr>
          <w:color w:val="000000"/>
        </w:rPr>
        <w:t>podle</w:t>
      </w:r>
      <w:proofErr w:type="spellEnd"/>
      <w:r>
        <w:rPr>
          <w:color w:val="000000"/>
        </w:rPr>
        <w:t xml:space="preserve"> </w:t>
      </w:r>
      <w:proofErr w:type="spellStart"/>
      <w:r>
        <w:rPr>
          <w:color w:val="000000"/>
        </w:rPr>
        <w:t>tebe</w:t>
      </w:r>
      <w:proofErr w:type="spellEnd"/>
      <w:r>
        <w:rPr>
          <w:color w:val="000000"/>
        </w:rPr>
        <w:t xml:space="preserve"> </w:t>
      </w:r>
      <w:proofErr w:type="spellStart"/>
      <w:r>
        <w:rPr>
          <w:color w:val="000000"/>
        </w:rPr>
        <w:t>mělo</w:t>
      </w:r>
      <w:proofErr w:type="spellEnd"/>
      <w:r>
        <w:rPr>
          <w:color w:val="000000"/>
        </w:rPr>
        <w:t xml:space="preserve"> </w:t>
      </w:r>
      <w:proofErr w:type="spellStart"/>
      <w:r>
        <w:rPr>
          <w:color w:val="000000"/>
        </w:rPr>
        <w:t>největší</w:t>
      </w:r>
      <w:proofErr w:type="spellEnd"/>
      <w:r>
        <w:rPr>
          <w:color w:val="000000"/>
        </w:rPr>
        <w:t xml:space="preserve"> </w:t>
      </w:r>
      <w:proofErr w:type="spellStart"/>
      <w:r>
        <w:rPr>
          <w:color w:val="000000"/>
        </w:rPr>
        <w:t>dopad</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učení</w:t>
      </w:r>
      <w:proofErr w:type="spellEnd"/>
      <w:r>
        <w:rPr>
          <w:color w:val="000000"/>
        </w:rPr>
        <w:t xml:space="preserve"> </w:t>
      </w:r>
      <w:proofErr w:type="spellStart"/>
      <w:r>
        <w:rPr>
          <w:color w:val="000000"/>
        </w:rPr>
        <w:t>dětí</w:t>
      </w:r>
      <w:proofErr w:type="spellEnd"/>
      <w:r>
        <w:rPr>
          <w:color w:val="000000"/>
        </w:rPr>
        <w:t>?</w:t>
      </w:r>
    </w:p>
    <w:p w14:paraId="00000011" w14:textId="77777777" w:rsidR="001A72B5" w:rsidRDefault="00000000">
      <w:pPr>
        <w:numPr>
          <w:ilvl w:val="0"/>
          <w:numId w:val="1"/>
        </w:numPr>
        <w:pBdr>
          <w:top w:val="nil"/>
          <w:left w:val="nil"/>
          <w:bottom w:val="nil"/>
          <w:right w:val="nil"/>
          <w:between w:val="nil"/>
        </w:pBdr>
        <w:spacing w:after="0" w:line="240" w:lineRule="auto"/>
      </w:pPr>
      <w:r>
        <w:rPr>
          <w:color w:val="000000"/>
        </w:rPr>
        <w:t xml:space="preserve">V </w:t>
      </w:r>
      <w:proofErr w:type="spellStart"/>
      <w:r>
        <w:rPr>
          <w:color w:val="000000"/>
        </w:rPr>
        <w:t>které</w:t>
      </w:r>
      <w:proofErr w:type="spellEnd"/>
      <w:r>
        <w:rPr>
          <w:color w:val="000000"/>
        </w:rPr>
        <w:t xml:space="preserve"> </w:t>
      </w:r>
      <w:proofErr w:type="spellStart"/>
      <w:r>
        <w:rPr>
          <w:color w:val="000000"/>
        </w:rPr>
        <w:t>části</w:t>
      </w:r>
      <w:proofErr w:type="spellEnd"/>
      <w:r>
        <w:rPr>
          <w:color w:val="000000"/>
        </w:rPr>
        <w:t xml:space="preserve"> </w:t>
      </w:r>
      <w:proofErr w:type="spellStart"/>
      <w:proofErr w:type="gramStart"/>
      <w:r>
        <w:rPr>
          <w:color w:val="000000"/>
        </w:rPr>
        <w:t>hodiny</w:t>
      </w:r>
      <w:proofErr w:type="spellEnd"/>
      <w:r>
        <w:rPr>
          <w:color w:val="000000"/>
        </w:rPr>
        <w:t xml:space="preserve">  </w:t>
      </w:r>
      <w:proofErr w:type="spellStart"/>
      <w:r>
        <w:rPr>
          <w:color w:val="000000"/>
        </w:rPr>
        <w:t>jsi</w:t>
      </w:r>
      <w:proofErr w:type="spellEnd"/>
      <w:proofErr w:type="gramEnd"/>
      <w:r>
        <w:rPr>
          <w:color w:val="000000"/>
        </w:rPr>
        <w:t xml:space="preserve"> se </w:t>
      </w:r>
      <w:proofErr w:type="spellStart"/>
      <w:r>
        <w:rPr>
          <w:color w:val="000000"/>
        </w:rPr>
        <w:t>dnes</w:t>
      </w:r>
      <w:proofErr w:type="spellEnd"/>
      <w:r>
        <w:rPr>
          <w:color w:val="000000"/>
        </w:rPr>
        <w:t xml:space="preserve"> </w:t>
      </w:r>
      <w:proofErr w:type="spellStart"/>
      <w:r>
        <w:rPr>
          <w:color w:val="000000"/>
        </w:rPr>
        <w:t>cítil</w:t>
      </w:r>
      <w:proofErr w:type="spellEnd"/>
      <w:r>
        <w:rPr>
          <w:color w:val="000000"/>
        </w:rPr>
        <w:t>/a</w:t>
      </w:r>
      <w:proofErr w:type="spellStart"/>
      <w:r>
        <w:rPr>
          <w:color w:val="000000"/>
        </w:rPr>
        <w:t xml:space="preserve"> nejjistěj</w:t>
      </w:r>
      <w:proofErr w:type="spellEnd"/>
      <w:r>
        <w:rPr>
          <w:color w:val="000000"/>
        </w:rPr>
        <w:t>i?</w:t>
      </w:r>
    </w:p>
    <w:p w14:paraId="00000012" w14:textId="77777777" w:rsidR="001A72B5" w:rsidRDefault="00000000">
      <w:pPr>
        <w:numPr>
          <w:ilvl w:val="0"/>
          <w:numId w:val="1"/>
        </w:numPr>
        <w:pBdr>
          <w:top w:val="nil"/>
          <w:left w:val="nil"/>
          <w:bottom w:val="nil"/>
          <w:right w:val="nil"/>
          <w:between w:val="nil"/>
        </w:pBdr>
        <w:spacing w:after="0" w:line="240" w:lineRule="auto"/>
      </w:pPr>
      <w:bookmarkStart w:id="0" w:name="_gjdgxs" w:colFirst="0" w:colLast="0"/>
      <w:bookmarkEnd w:id="0"/>
      <w:proofErr w:type="spellStart"/>
      <w:r>
        <w:rPr>
          <w:color w:val="000000"/>
        </w:rPr>
        <w:t>Cítil</w:t>
      </w:r>
      <w:proofErr w:type="spellEnd"/>
      <w:r>
        <w:rPr>
          <w:color w:val="000000"/>
        </w:rPr>
        <w:t xml:space="preserve">/a </w:t>
      </w:r>
      <w:proofErr w:type="spellStart"/>
      <w:r>
        <w:rPr>
          <w:color w:val="000000"/>
        </w:rPr>
        <w:t>jsi</w:t>
      </w:r>
      <w:proofErr w:type="spellEnd"/>
      <w:r>
        <w:rPr>
          <w:color w:val="000000"/>
        </w:rPr>
        <w:t xml:space="preserve"> </w:t>
      </w:r>
      <w:proofErr w:type="spellStart"/>
      <w:r>
        <w:rPr>
          <w:color w:val="000000"/>
        </w:rPr>
        <w:t>naopak</w:t>
      </w:r>
      <w:proofErr w:type="spellEnd"/>
      <w:r>
        <w:rPr>
          <w:color w:val="000000"/>
        </w:rPr>
        <w:t xml:space="preserve"> v </w:t>
      </w:r>
      <w:proofErr w:type="spellStart"/>
      <w:r>
        <w:rPr>
          <w:color w:val="000000"/>
        </w:rPr>
        <w:t>nějaké</w:t>
      </w:r>
      <w:proofErr w:type="spellEnd"/>
      <w:r>
        <w:rPr>
          <w:color w:val="000000"/>
        </w:rPr>
        <w:t xml:space="preserve"> </w:t>
      </w:r>
      <w:proofErr w:type="spellStart"/>
      <w:r>
        <w:rPr>
          <w:color w:val="000000"/>
        </w:rPr>
        <w:t>části</w:t>
      </w:r>
      <w:proofErr w:type="spellEnd"/>
      <w:r>
        <w:rPr>
          <w:color w:val="000000"/>
        </w:rPr>
        <w:t xml:space="preserve"> </w:t>
      </w:r>
      <w:proofErr w:type="spellStart"/>
      <w:r>
        <w:rPr>
          <w:color w:val="000000"/>
        </w:rPr>
        <w:t>hodiny</w:t>
      </w:r>
      <w:proofErr w:type="spellEnd"/>
      <w:r>
        <w:rPr>
          <w:color w:val="000000"/>
        </w:rPr>
        <w:t>/</w:t>
      </w:r>
      <w:proofErr w:type="spellStart"/>
      <w:proofErr w:type="gramStart"/>
      <w:r>
        <w:rPr>
          <w:color w:val="000000"/>
        </w:rPr>
        <w:t>dne</w:t>
      </w:r>
      <w:proofErr w:type="spellEnd"/>
      <w:r>
        <w:rPr>
          <w:color w:val="000000"/>
        </w:rPr>
        <w:t xml:space="preserve">  </w:t>
      </w:r>
      <w:proofErr w:type="spellStart"/>
      <w:r>
        <w:rPr>
          <w:color w:val="000000"/>
        </w:rPr>
        <w:t>nějaký</w:t>
      </w:r>
      <w:proofErr w:type="spellEnd"/>
      <w:proofErr w:type="gramEnd"/>
      <w:r>
        <w:rPr>
          <w:color w:val="000000"/>
        </w:rPr>
        <w:t xml:space="preserve"> </w:t>
      </w:r>
      <w:proofErr w:type="spellStart"/>
      <w:r>
        <w:rPr>
          <w:color w:val="000000"/>
        </w:rPr>
        <w:t>problém</w:t>
      </w:r>
      <w:proofErr w:type="spellEnd"/>
      <w:r>
        <w:rPr>
          <w:color w:val="000000"/>
        </w:rPr>
        <w:t xml:space="preserve">, </w:t>
      </w:r>
      <w:proofErr w:type="spellStart"/>
      <w:r>
        <w:rPr>
          <w:color w:val="000000"/>
        </w:rPr>
        <w:t>že</w:t>
      </w:r>
      <w:proofErr w:type="spellEnd"/>
      <w:r>
        <w:rPr>
          <w:color w:val="000000"/>
        </w:rPr>
        <w:t xml:space="preserve"> se </w:t>
      </w:r>
      <w:proofErr w:type="spellStart"/>
      <w:r>
        <w:rPr>
          <w:color w:val="000000"/>
        </w:rPr>
        <w:t>něco</w:t>
      </w:r>
      <w:proofErr w:type="spellEnd"/>
      <w:r>
        <w:rPr>
          <w:color w:val="000000"/>
        </w:rPr>
        <w:t xml:space="preserve"> </w:t>
      </w:r>
      <w:proofErr w:type="spellStart"/>
      <w:r>
        <w:rPr>
          <w:color w:val="000000"/>
        </w:rPr>
        <w:t>nedařilo</w:t>
      </w:r>
      <w:proofErr w:type="spellEnd"/>
      <w:r>
        <w:rPr>
          <w:color w:val="000000"/>
        </w:rPr>
        <w:t xml:space="preserve">, </w:t>
      </w:r>
      <w:proofErr w:type="spellStart"/>
      <w:r>
        <w:rPr>
          <w:color w:val="000000"/>
        </w:rPr>
        <w:t>tak</w:t>
      </w:r>
      <w:proofErr w:type="spellEnd"/>
      <w:r>
        <w:rPr>
          <w:color w:val="000000"/>
        </w:rPr>
        <w:t xml:space="preserve"> jak </w:t>
      </w:r>
      <w:proofErr w:type="spellStart"/>
      <w:r>
        <w:rPr>
          <w:color w:val="000000"/>
        </w:rPr>
        <w:t>jsi</w:t>
      </w:r>
      <w:proofErr w:type="spellEnd"/>
      <w:r>
        <w:rPr>
          <w:color w:val="000000"/>
        </w:rPr>
        <w:t xml:space="preserve"> </w:t>
      </w:r>
      <w:proofErr w:type="spellStart"/>
      <w:r>
        <w:rPr>
          <w:color w:val="000000"/>
        </w:rPr>
        <w:t>chtěla</w:t>
      </w:r>
      <w:proofErr w:type="spellEnd"/>
      <w:r>
        <w:rPr>
          <w:color w:val="000000"/>
        </w:rPr>
        <w:t xml:space="preserve">? V </w:t>
      </w:r>
      <w:proofErr w:type="spellStart"/>
      <w:r>
        <w:rPr>
          <w:color w:val="000000"/>
        </w:rPr>
        <w:t>čem</w:t>
      </w:r>
      <w:proofErr w:type="spellEnd"/>
      <w:r>
        <w:rPr>
          <w:color w:val="000000"/>
        </w:rPr>
        <w:t xml:space="preserve"> </w:t>
      </w:r>
      <w:proofErr w:type="spellStart"/>
      <w:r>
        <w:rPr>
          <w:color w:val="000000"/>
        </w:rPr>
        <w:t>konkrétně</w:t>
      </w:r>
      <w:proofErr w:type="spellEnd"/>
      <w:r>
        <w:rPr>
          <w:color w:val="000000"/>
        </w:rPr>
        <w:t>?</w:t>
      </w:r>
    </w:p>
    <w:sectPr w:rsidR="001A72B5">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92AD6"/>
    <w:multiLevelType w:val="multilevel"/>
    <w:tmpl w:val="36027A10"/>
    <w:lvl w:ilvl="0">
      <w:start w:val="8"/>
      <w:numFmt w:val="bullet"/>
      <w:lvlText w:val="•"/>
      <w:lvlJc w:val="left"/>
      <w:pPr>
        <w:ind w:left="720" w:hanging="72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597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2B5"/>
    <w:rsid w:val="001A72B5"/>
    <w:rsid w:val="00835A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docId w15:val="{52B75C56-6439-174F-B82E-91AA4D2C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200</Words>
  <Characters>1181</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 Topinka</cp:lastModifiedBy>
  <cp:revision>2</cp:revision>
  <dcterms:created xsi:type="dcterms:W3CDTF">2022-12-06T10:04:00Z</dcterms:created>
  <dcterms:modified xsi:type="dcterms:W3CDTF">2022-12-06T10:05:00Z</dcterms:modified>
</cp:coreProperties>
</file>