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2685" w:rsidRPr="004F2685" w:rsidRDefault="004F2685" w:rsidP="004F2685">
      <w:pPr>
        <w:spacing w:line="360" w:lineRule="auto"/>
        <w:jc w:val="center"/>
        <w:rPr>
          <w:b/>
          <w:i/>
          <w:iCs/>
          <w:color w:val="0000FF"/>
          <w:sz w:val="32"/>
          <w:szCs w:val="32"/>
        </w:rPr>
      </w:pPr>
      <w:r w:rsidRPr="004F2685">
        <w:rPr>
          <w:b/>
          <w:i/>
          <w:iCs/>
          <w:color w:val="0000FF"/>
          <w:sz w:val="32"/>
          <w:szCs w:val="32"/>
        </w:rPr>
        <w:t>Systematické pozorování</w:t>
      </w:r>
    </w:p>
    <w:p w:rsidR="004F2685" w:rsidRPr="004F2685" w:rsidRDefault="004F2685" w:rsidP="004F2685">
      <w:pPr>
        <w:spacing w:line="360" w:lineRule="auto"/>
        <w:jc w:val="both"/>
        <w:rPr>
          <w:b/>
          <w:color w:val="000000"/>
        </w:rPr>
      </w:pPr>
    </w:p>
    <w:p w:rsidR="004F2685" w:rsidRPr="002742C4" w:rsidRDefault="004F2685" w:rsidP="004F2685">
      <w:pPr>
        <w:spacing w:line="360" w:lineRule="auto"/>
        <w:jc w:val="both"/>
        <w:rPr>
          <w:i/>
          <w:iCs/>
          <w:color w:val="000000"/>
        </w:rPr>
      </w:pPr>
      <w:r w:rsidRPr="002742C4">
        <w:rPr>
          <w:color w:val="000000"/>
        </w:rPr>
        <w:t>V běžném životě obvykle neustále realizujeme tzv. nahodilé pozorování. V rámci cílené diagnostické činnosti bychom ale měli aplikovat pozorování systematické</w:t>
      </w:r>
      <w:r w:rsidR="00046085">
        <w:rPr>
          <w:color w:val="000000"/>
        </w:rPr>
        <w:t xml:space="preserve"> (</w:t>
      </w:r>
      <w:proofErr w:type="spellStart"/>
      <w:r w:rsidR="00046085">
        <w:rPr>
          <w:color w:val="000000"/>
        </w:rPr>
        <w:t>Prunner</w:t>
      </w:r>
      <w:proofErr w:type="spellEnd"/>
      <w:r w:rsidR="00046085">
        <w:rPr>
          <w:color w:val="000000"/>
        </w:rPr>
        <w:t>, 2003)</w:t>
      </w:r>
      <w:r w:rsidRPr="002742C4">
        <w:rPr>
          <w:color w:val="000000"/>
        </w:rPr>
        <w:t xml:space="preserve">. </w:t>
      </w:r>
      <w:r w:rsidRPr="002742C4">
        <w:rPr>
          <w:i/>
          <w:iCs/>
          <w:color w:val="000000"/>
        </w:rPr>
        <w:t xml:space="preserve"> </w:t>
      </w:r>
      <w:bookmarkStart w:id="0" w:name="_GoBack"/>
      <w:bookmarkEnd w:id="0"/>
    </w:p>
    <w:p w:rsidR="004F2685" w:rsidRPr="002742C4" w:rsidRDefault="004F2685" w:rsidP="004F2685">
      <w:pPr>
        <w:spacing w:line="360" w:lineRule="auto"/>
        <w:jc w:val="both"/>
        <w:rPr>
          <w:i/>
          <w:iCs/>
          <w:color w:val="000000"/>
        </w:rPr>
      </w:pPr>
    </w:p>
    <w:p w:rsidR="004F2685" w:rsidRPr="002742C4" w:rsidRDefault="004F2685" w:rsidP="004F2685">
      <w:pPr>
        <w:spacing w:line="360" w:lineRule="auto"/>
        <w:jc w:val="both"/>
        <w:rPr>
          <w:color w:val="000000"/>
        </w:rPr>
      </w:pPr>
      <w:r w:rsidRPr="002742C4">
        <w:rPr>
          <w:color w:val="000000"/>
          <w:u w:val="single"/>
        </w:rPr>
        <w:t>Podmínkou systematického pozorování je přesné stanovení</w:t>
      </w:r>
      <w:r w:rsidRPr="002742C4">
        <w:rPr>
          <w:color w:val="000000"/>
        </w:rPr>
        <w:t xml:space="preserve"> </w:t>
      </w:r>
    </w:p>
    <w:p w:rsidR="004F2685" w:rsidRPr="002742C4" w:rsidRDefault="004F2685" w:rsidP="004F2685">
      <w:pPr>
        <w:spacing w:line="360" w:lineRule="auto"/>
        <w:jc w:val="both"/>
        <w:rPr>
          <w:color w:val="000000"/>
        </w:rPr>
      </w:pPr>
      <w:r w:rsidRPr="002742C4">
        <w:rPr>
          <w:color w:val="000000"/>
        </w:rPr>
        <w:t xml:space="preserve">- předmětu (jevu) pozorování a </w:t>
      </w:r>
    </w:p>
    <w:p w:rsidR="004F2685" w:rsidRPr="002742C4" w:rsidRDefault="004F2685" w:rsidP="004F2685">
      <w:pPr>
        <w:spacing w:line="360" w:lineRule="auto"/>
        <w:jc w:val="both"/>
        <w:rPr>
          <w:color w:val="000000"/>
        </w:rPr>
      </w:pPr>
    </w:p>
    <w:p w:rsidR="004F2685" w:rsidRDefault="004F2685" w:rsidP="004F2685">
      <w:pPr>
        <w:spacing w:line="360" w:lineRule="auto"/>
        <w:jc w:val="both"/>
        <w:rPr>
          <w:color w:val="000000"/>
        </w:rPr>
      </w:pPr>
    </w:p>
    <w:p w:rsidR="004F2685" w:rsidRPr="002742C4" w:rsidRDefault="004F2685" w:rsidP="004F2685">
      <w:pPr>
        <w:spacing w:line="360" w:lineRule="auto"/>
        <w:jc w:val="both"/>
        <w:rPr>
          <w:b/>
          <w:bCs/>
          <w:i/>
          <w:iCs/>
          <w:color w:val="000000"/>
        </w:rPr>
      </w:pPr>
      <w:r w:rsidRPr="002742C4">
        <w:rPr>
          <w:color w:val="000000"/>
        </w:rPr>
        <w:t xml:space="preserve">Pro začínající pozorovatele se doporučuje k registraci využívat </w:t>
      </w:r>
      <w:r w:rsidRPr="002742C4">
        <w:rPr>
          <w:b/>
          <w:bCs/>
          <w:i/>
          <w:iCs/>
          <w:color w:val="000000"/>
        </w:rPr>
        <w:t xml:space="preserve">5 - 7 </w:t>
      </w:r>
      <w:proofErr w:type="gramStart"/>
      <w:r w:rsidRPr="002742C4">
        <w:rPr>
          <w:b/>
          <w:bCs/>
          <w:i/>
          <w:iCs/>
          <w:color w:val="000000"/>
        </w:rPr>
        <w:t>bodovou  posuzovací</w:t>
      </w:r>
      <w:proofErr w:type="gramEnd"/>
      <w:r w:rsidRPr="002742C4">
        <w:rPr>
          <w:b/>
          <w:bCs/>
          <w:i/>
          <w:iCs/>
          <w:color w:val="000000"/>
        </w:rPr>
        <w:t xml:space="preserve"> škálu</w:t>
      </w:r>
      <w:r>
        <w:rPr>
          <w:b/>
          <w:bCs/>
          <w:i/>
          <w:iCs/>
          <w:color w:val="000000"/>
        </w:rPr>
        <w:t xml:space="preserve">. </w:t>
      </w:r>
    </w:p>
    <w:p w:rsidR="004F2685" w:rsidRPr="002742C4" w:rsidRDefault="004F2685" w:rsidP="004F2685">
      <w:pPr>
        <w:spacing w:line="360" w:lineRule="auto"/>
        <w:jc w:val="center"/>
        <w:rPr>
          <w:b/>
          <w:bCs/>
          <w:i/>
          <w:iCs/>
          <w:color w:val="808080"/>
        </w:rPr>
      </w:pPr>
      <w:r w:rsidRPr="002742C4">
        <w:rPr>
          <w:noProof/>
        </w:rPr>
        <w:drawing>
          <wp:inline distT="0" distB="0" distL="0" distR="0">
            <wp:extent cx="5010150" cy="1169035"/>
            <wp:effectExtent l="1905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1169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2685" w:rsidRPr="002742C4" w:rsidRDefault="004F2685" w:rsidP="004F2685">
      <w:pPr>
        <w:spacing w:line="360" w:lineRule="auto"/>
        <w:jc w:val="both"/>
        <w:rPr>
          <w:b/>
          <w:bCs/>
          <w:i/>
          <w:iCs/>
          <w:color w:val="000000"/>
        </w:rPr>
      </w:pPr>
    </w:p>
    <w:p w:rsidR="004F2685" w:rsidRPr="002742C4" w:rsidRDefault="004F2685" w:rsidP="004F2685">
      <w:pPr>
        <w:spacing w:line="360" w:lineRule="auto"/>
        <w:jc w:val="both"/>
        <w:rPr>
          <w:b/>
          <w:bCs/>
          <w:i/>
          <w:iCs/>
          <w:color w:val="000000"/>
        </w:rPr>
      </w:pPr>
    </w:p>
    <w:p w:rsidR="004F2685" w:rsidRDefault="004F2685" w:rsidP="004F2685">
      <w:pPr>
        <w:spacing w:line="360" w:lineRule="auto"/>
        <w:jc w:val="center"/>
        <w:rPr>
          <w:b/>
          <w:i/>
          <w:iCs/>
          <w:color w:val="0000FF"/>
          <w:sz w:val="32"/>
          <w:szCs w:val="32"/>
        </w:rPr>
      </w:pPr>
      <w:r w:rsidRPr="004F2685">
        <w:rPr>
          <w:b/>
          <w:i/>
          <w:iCs/>
          <w:color w:val="0000FF"/>
          <w:sz w:val="32"/>
          <w:szCs w:val="32"/>
        </w:rPr>
        <w:t>Kvalita pozorovatele</w:t>
      </w:r>
    </w:p>
    <w:p w:rsidR="004F2685" w:rsidRPr="004F2685" w:rsidRDefault="004F2685" w:rsidP="004F2685">
      <w:pPr>
        <w:spacing w:line="360" w:lineRule="auto"/>
        <w:jc w:val="center"/>
        <w:rPr>
          <w:b/>
          <w:bCs/>
          <w:i/>
          <w:iCs/>
          <w:color w:val="000000"/>
          <w:sz w:val="32"/>
          <w:szCs w:val="32"/>
        </w:rPr>
      </w:pPr>
    </w:p>
    <w:p w:rsidR="004F2685" w:rsidRDefault="004F2685" w:rsidP="004F2685">
      <w:pPr>
        <w:spacing w:line="360" w:lineRule="auto"/>
        <w:jc w:val="both"/>
        <w:rPr>
          <w:color w:val="000000"/>
        </w:rPr>
      </w:pPr>
      <w:r w:rsidRPr="002742C4">
        <w:rPr>
          <w:color w:val="000000"/>
        </w:rPr>
        <w:t>Výsledky pozorování úzce souvisí s tím, jak kvalitními jsme pozorovateli. Souvisí s naší celkovou interpersonální citlivostí, diagnostickými dovednosti získanými minulými zkušenostmi, s úrovní inteligence apod.</w:t>
      </w:r>
      <w:r>
        <w:rPr>
          <w:color w:val="000000"/>
        </w:rPr>
        <w:t xml:space="preserve"> </w:t>
      </w:r>
    </w:p>
    <w:p w:rsidR="004F2685" w:rsidRDefault="004F2685" w:rsidP="004F2685">
      <w:pPr>
        <w:spacing w:line="360" w:lineRule="auto"/>
        <w:jc w:val="both"/>
        <w:rPr>
          <w:color w:val="000000"/>
        </w:rPr>
      </w:pPr>
      <w:r w:rsidRPr="002742C4">
        <w:rPr>
          <w:color w:val="000000"/>
        </w:rPr>
        <w:t xml:space="preserve">Kvalita pozorování však také předpokládá, že jedinec má dobrý vztah sám k sobě, je emocionálně stabilní a schopen udržet si objektivitu a odstup od druhého. </w:t>
      </w:r>
    </w:p>
    <w:p w:rsidR="004F2685" w:rsidRDefault="004F2685" w:rsidP="004F2685">
      <w:pPr>
        <w:spacing w:line="360" w:lineRule="auto"/>
        <w:jc w:val="both"/>
        <w:rPr>
          <w:color w:val="000000"/>
        </w:rPr>
      </w:pPr>
    </w:p>
    <w:p w:rsidR="004F2685" w:rsidRPr="002742C4" w:rsidRDefault="004F2685" w:rsidP="004F2685">
      <w:pPr>
        <w:spacing w:line="360" w:lineRule="auto"/>
        <w:jc w:val="both"/>
        <w:rPr>
          <w:color w:val="000000"/>
        </w:rPr>
      </w:pPr>
      <w:r w:rsidRPr="002742C4">
        <w:rPr>
          <w:color w:val="000000"/>
        </w:rPr>
        <w:t>Objektivitu a dostatečný odstup od druhého si lze zachovat pouze v případě znalosti častých chyb pozorovatelů - chyby sociální percepce</w:t>
      </w:r>
      <w:r w:rsidR="00046085">
        <w:rPr>
          <w:color w:val="000000"/>
        </w:rPr>
        <w:t xml:space="preserve"> (</w:t>
      </w:r>
      <w:proofErr w:type="spellStart"/>
      <w:r w:rsidR="00046085">
        <w:rPr>
          <w:color w:val="000000"/>
        </w:rPr>
        <w:t>Miňhová</w:t>
      </w:r>
      <w:proofErr w:type="spellEnd"/>
      <w:r w:rsidR="00046085">
        <w:rPr>
          <w:color w:val="000000"/>
        </w:rPr>
        <w:t xml:space="preserve">, Holeček, </w:t>
      </w:r>
      <w:proofErr w:type="spellStart"/>
      <w:r w:rsidR="00046085">
        <w:rPr>
          <w:color w:val="000000"/>
        </w:rPr>
        <w:t>Prunner</w:t>
      </w:r>
      <w:proofErr w:type="spellEnd"/>
      <w:r w:rsidR="00046085">
        <w:rPr>
          <w:color w:val="000000"/>
        </w:rPr>
        <w:t>, 2009)</w:t>
      </w:r>
      <w:r>
        <w:rPr>
          <w:color w:val="000000"/>
        </w:rPr>
        <w:t xml:space="preserve">. </w:t>
      </w:r>
    </w:p>
    <w:p w:rsidR="004F2685" w:rsidRPr="002742C4" w:rsidRDefault="004F2685" w:rsidP="004F2685">
      <w:pPr>
        <w:spacing w:line="360" w:lineRule="auto"/>
        <w:jc w:val="center"/>
        <w:rPr>
          <w:color w:val="808080"/>
        </w:rPr>
      </w:pPr>
      <w:r w:rsidRPr="002742C4">
        <w:rPr>
          <w:noProof/>
        </w:rPr>
        <w:lastRenderedPageBreak/>
        <w:drawing>
          <wp:inline distT="0" distB="0" distL="0" distR="0">
            <wp:extent cx="4591050" cy="1974152"/>
            <wp:effectExtent l="1905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9741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2685" w:rsidRPr="002742C4" w:rsidRDefault="004F2685" w:rsidP="004F2685">
      <w:pPr>
        <w:spacing w:line="360" w:lineRule="auto"/>
        <w:jc w:val="center"/>
        <w:rPr>
          <w:color w:val="808080"/>
        </w:rPr>
      </w:pPr>
      <w:r w:rsidRPr="002742C4">
        <w:rPr>
          <w:noProof/>
        </w:rPr>
        <w:drawing>
          <wp:inline distT="0" distB="0" distL="0" distR="0">
            <wp:extent cx="3943350" cy="1866519"/>
            <wp:effectExtent l="1905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0" cy="18665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2685" w:rsidRPr="002742C4" w:rsidRDefault="004F2685" w:rsidP="004F2685">
      <w:pPr>
        <w:spacing w:line="360" w:lineRule="auto"/>
        <w:jc w:val="center"/>
        <w:rPr>
          <w:color w:val="808080"/>
        </w:rPr>
      </w:pPr>
      <w:r w:rsidRPr="002742C4">
        <w:rPr>
          <w:noProof/>
        </w:rPr>
        <w:drawing>
          <wp:inline distT="0" distB="0" distL="0" distR="0">
            <wp:extent cx="3971925" cy="1999202"/>
            <wp:effectExtent l="19050" t="0" r="9525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1925" cy="19992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2685" w:rsidRPr="002742C4" w:rsidRDefault="004F2685" w:rsidP="004F2685">
      <w:pPr>
        <w:spacing w:line="360" w:lineRule="auto"/>
        <w:jc w:val="center"/>
        <w:rPr>
          <w:color w:val="808080"/>
        </w:rPr>
      </w:pPr>
      <w:r w:rsidRPr="002742C4">
        <w:rPr>
          <w:noProof/>
        </w:rPr>
        <w:lastRenderedPageBreak/>
        <w:drawing>
          <wp:inline distT="0" distB="0" distL="0" distR="0">
            <wp:extent cx="3623146" cy="2524125"/>
            <wp:effectExtent l="19050" t="0" r="0" b="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3146" cy="2524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2685" w:rsidRPr="002742C4" w:rsidRDefault="004F2685" w:rsidP="004F2685">
      <w:pPr>
        <w:tabs>
          <w:tab w:val="left" w:pos="3420"/>
        </w:tabs>
        <w:spacing w:line="360" w:lineRule="auto"/>
        <w:jc w:val="both"/>
        <w:rPr>
          <w:color w:val="000000"/>
        </w:rPr>
      </w:pPr>
      <w:r>
        <w:rPr>
          <w:color w:val="000000"/>
        </w:rPr>
        <w:tab/>
      </w:r>
    </w:p>
    <w:p w:rsidR="004F2685" w:rsidRDefault="004F2685" w:rsidP="004F2685">
      <w:pPr>
        <w:spacing w:line="360" w:lineRule="auto"/>
        <w:jc w:val="center"/>
        <w:rPr>
          <w:b/>
          <w:i/>
          <w:iCs/>
          <w:color w:val="0000FF"/>
          <w:sz w:val="32"/>
          <w:szCs w:val="32"/>
        </w:rPr>
      </w:pPr>
      <w:r w:rsidRPr="004F2685">
        <w:rPr>
          <w:b/>
          <w:i/>
          <w:iCs/>
          <w:color w:val="0000FF"/>
          <w:sz w:val="32"/>
          <w:szCs w:val="32"/>
        </w:rPr>
        <w:t>Informační zdroje pozorování</w:t>
      </w:r>
    </w:p>
    <w:p w:rsidR="004F2685" w:rsidRPr="004F2685" w:rsidRDefault="004F2685" w:rsidP="004F2685">
      <w:pPr>
        <w:spacing w:line="360" w:lineRule="auto"/>
        <w:jc w:val="center"/>
        <w:rPr>
          <w:b/>
          <w:sz w:val="32"/>
          <w:szCs w:val="32"/>
        </w:rPr>
      </w:pPr>
    </w:p>
    <w:p w:rsidR="004F2685" w:rsidRPr="002742C4" w:rsidRDefault="004F2685" w:rsidP="004F2685">
      <w:pPr>
        <w:spacing w:line="360" w:lineRule="auto"/>
        <w:jc w:val="both"/>
      </w:pPr>
      <w:r w:rsidRPr="002742C4">
        <w:t>Jako informační zdroj pozorování může sloužit pouze to, co je vnímatelné smysly</w:t>
      </w:r>
      <w:r>
        <w:t xml:space="preserve">. </w:t>
      </w:r>
      <w:r w:rsidRPr="002742C4">
        <w:t xml:space="preserve">V ostatních případech by se jednalo spíše o hodnocení.  </w:t>
      </w:r>
    </w:p>
    <w:p w:rsidR="004F2685" w:rsidRPr="002742C4" w:rsidRDefault="004F2685" w:rsidP="004F2685">
      <w:pPr>
        <w:spacing w:line="360" w:lineRule="auto"/>
        <w:jc w:val="both"/>
      </w:pPr>
    </w:p>
    <w:p w:rsidR="004F2685" w:rsidRPr="002742C4" w:rsidRDefault="004F2685" w:rsidP="004F2685">
      <w:pPr>
        <w:spacing w:line="360" w:lineRule="auto"/>
        <w:jc w:val="center"/>
        <w:rPr>
          <w:color w:val="808080"/>
        </w:rPr>
      </w:pPr>
      <w:r w:rsidRPr="002742C4">
        <w:rPr>
          <w:noProof/>
        </w:rPr>
        <w:drawing>
          <wp:inline distT="0" distB="0" distL="0" distR="0">
            <wp:extent cx="1752600" cy="2647950"/>
            <wp:effectExtent l="19050" t="0" r="0" b="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5145" w:rsidRDefault="00425145"/>
    <w:sectPr w:rsidR="00425145" w:rsidSect="00425145">
      <w:head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7AB3" w:rsidRDefault="009B7AB3" w:rsidP="000753B0">
      <w:r>
        <w:separator/>
      </w:r>
    </w:p>
  </w:endnote>
  <w:endnote w:type="continuationSeparator" w:id="0">
    <w:p w:rsidR="009B7AB3" w:rsidRDefault="009B7AB3" w:rsidP="000753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7AB3" w:rsidRDefault="009B7AB3" w:rsidP="000753B0">
      <w:r>
        <w:separator/>
      </w:r>
    </w:p>
  </w:footnote>
  <w:footnote w:type="continuationSeparator" w:id="0">
    <w:p w:rsidR="009B7AB3" w:rsidRDefault="009B7AB3" w:rsidP="000753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53B0" w:rsidRDefault="000753B0" w:rsidP="000753B0">
    <w:pPr>
      <w:pStyle w:val="Zhlav"/>
      <w:jc w:val="center"/>
    </w:pPr>
    <w:r>
      <w:rPr>
        <w:noProof/>
      </w:rPr>
      <w:drawing>
        <wp:inline distT="0" distB="0" distL="0" distR="0" wp14:anchorId="67D6512D" wp14:editId="23F50A35">
          <wp:extent cx="4643755" cy="1029335"/>
          <wp:effectExtent l="0" t="0" r="4445" b="0"/>
          <wp:docPr id="7" name="Obrázek 7" descr="\\op.msmt.cz\DavWWWRoot\SiteCollectionDocuments\OPVVV\12_Publicita\Vizuální identita OP VVV - platná loga 2014-2020\02_Logolinky\a) logolink horizontální a vertikální čj barevný\EU OP VVV MSMT logo horizont CZ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ek 8" descr="\\op.msmt.cz\DavWWWRoot\SiteCollectionDocuments\OPVVV\12_Publicita\Vizuální identita OP VVV - platná loga 2014-2020\02_Logolinky\a) logolink horizontální a vertikální čj barevný\EU OP VVV MSMT logo horizont CZ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43755" cy="1029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753B0" w:rsidRDefault="000753B0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685"/>
    <w:rsid w:val="00046085"/>
    <w:rsid w:val="000753B0"/>
    <w:rsid w:val="00425145"/>
    <w:rsid w:val="004F2685"/>
    <w:rsid w:val="00854D72"/>
    <w:rsid w:val="009B7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677587-21B3-4C7A-B10E-9D5F12773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F268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4F268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F2685"/>
    <w:rPr>
      <w:rFonts w:ascii="Tahoma" w:eastAsiaTheme="minorEastAsia" w:hAnsi="Tahoma" w:cs="Tahoma"/>
      <w:sz w:val="16"/>
      <w:szCs w:val="16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0753B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753B0"/>
    <w:rPr>
      <w:rFonts w:ascii="Arial" w:eastAsiaTheme="minorEastAsia" w:hAnsi="Arial" w:cs="Arial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0753B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753B0"/>
    <w:rPr>
      <w:rFonts w:ascii="Arial" w:eastAsiaTheme="minorEastAsia" w:hAnsi="Arial" w:cs="Arial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165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ZCU</Company>
  <LinksUpToDate>false</LinksUpToDate>
  <CharactersWithSpaces>1141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lovasov</dc:creator>
  <cp:lastModifiedBy>martin.buk@tiscali.cz</cp:lastModifiedBy>
  <cp:revision>2</cp:revision>
  <dcterms:created xsi:type="dcterms:W3CDTF">2023-02-16T10:44:00Z</dcterms:created>
  <dcterms:modified xsi:type="dcterms:W3CDTF">2023-02-16T10:44:00Z</dcterms:modified>
</cp:coreProperties>
</file>