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083A" w:rsidRPr="00D2504C" w:rsidRDefault="0059083A" w:rsidP="0059083A">
      <w:pPr>
        <w:spacing w:line="360" w:lineRule="auto"/>
        <w:jc w:val="both"/>
      </w:pPr>
      <w:r w:rsidRPr="00D2504C">
        <w:rPr>
          <w:b/>
          <w:bCs/>
          <w:color w:val="0000FF"/>
        </w:rPr>
        <w:t>Fáze rozhovoru</w:t>
      </w:r>
    </w:p>
    <w:p w:rsidR="0059083A" w:rsidRPr="00D2504C" w:rsidRDefault="0059083A" w:rsidP="0059083A">
      <w:pPr>
        <w:spacing w:line="360" w:lineRule="auto"/>
        <w:jc w:val="both"/>
      </w:pPr>
      <w:r w:rsidRPr="00D2504C">
        <w:t>Jedna z velice důležitých je i samotná příprava na zjišťovací (diagnostický) rozhovor</w:t>
      </w:r>
      <w:r w:rsidR="005002F2">
        <w:t xml:space="preserve"> (Svoboda, 2013)</w:t>
      </w:r>
      <w:r w:rsidRPr="00D2504C">
        <w:t>.</w:t>
      </w:r>
    </w:p>
    <w:p w:rsidR="0059083A" w:rsidRPr="00D2504C" w:rsidRDefault="0059083A" w:rsidP="0059083A">
      <w:pPr>
        <w:spacing w:line="360" w:lineRule="auto"/>
        <w:jc w:val="center"/>
        <w:rPr>
          <w:color w:val="808080"/>
        </w:rPr>
      </w:pPr>
      <w:bookmarkStart w:id="0" w:name="_GoBack"/>
      <w:bookmarkEnd w:id="0"/>
      <w:r w:rsidRPr="00D2504C">
        <w:rPr>
          <w:noProof/>
        </w:rPr>
        <w:drawing>
          <wp:inline distT="0" distB="0" distL="0" distR="0">
            <wp:extent cx="2703195" cy="2210435"/>
            <wp:effectExtent l="19050" t="0" r="1905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3195" cy="22104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9083A" w:rsidRPr="00D2504C" w:rsidRDefault="0059083A" w:rsidP="0059083A">
      <w:pPr>
        <w:spacing w:line="360" w:lineRule="auto"/>
        <w:jc w:val="center"/>
        <w:rPr>
          <w:color w:val="808080"/>
        </w:rPr>
      </w:pPr>
      <w:r w:rsidRPr="00D2504C">
        <w:rPr>
          <w:noProof/>
        </w:rPr>
        <w:drawing>
          <wp:inline distT="0" distB="0" distL="0" distR="0">
            <wp:extent cx="3572159" cy="2000250"/>
            <wp:effectExtent l="19050" t="0" r="9241" b="0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2159" cy="2000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9083A" w:rsidRPr="00D2504C" w:rsidRDefault="0059083A" w:rsidP="0059083A">
      <w:pPr>
        <w:spacing w:line="360" w:lineRule="auto"/>
        <w:jc w:val="both"/>
        <w:rPr>
          <w:color w:val="808080"/>
        </w:rPr>
      </w:pPr>
    </w:p>
    <w:p w:rsidR="0059083A" w:rsidRPr="00D2504C" w:rsidRDefault="0059083A" w:rsidP="0059083A">
      <w:pPr>
        <w:spacing w:line="360" w:lineRule="auto"/>
        <w:jc w:val="both"/>
        <w:rPr>
          <w:color w:val="000000"/>
        </w:rPr>
      </w:pPr>
    </w:p>
    <w:p w:rsidR="0059083A" w:rsidRPr="002560BE" w:rsidRDefault="0059083A" w:rsidP="0059083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u w:val="single"/>
        </w:rPr>
      </w:pPr>
      <w:r w:rsidRPr="002560BE">
        <w:rPr>
          <w:u w:val="single"/>
        </w:rPr>
        <w:t>Registrace rozhovoru</w:t>
      </w:r>
    </w:p>
    <w:p w:rsidR="0059083A" w:rsidRPr="002560BE" w:rsidRDefault="0059083A" w:rsidP="0059083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u w:val="single"/>
        </w:rPr>
      </w:pPr>
    </w:p>
    <w:p w:rsidR="0059083A" w:rsidRPr="00B00020" w:rsidRDefault="0059083A" w:rsidP="0059083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</w:pPr>
      <w:r w:rsidRPr="00B00020">
        <w:t>- zapisování během rozhovoru působí rušivě na klienta, trpí tím i plynulost rozhovoru</w:t>
      </w:r>
    </w:p>
    <w:p w:rsidR="0059083A" w:rsidRPr="00B00020" w:rsidRDefault="0059083A" w:rsidP="0059083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</w:pPr>
      <w:r w:rsidRPr="00B00020">
        <w:t>- záznam po ukončení rozhovoru pak zase není tak přesný a úplný, zachytíme asi jen 40% obsahu rozhovoru, navíc se objevuje až 25% nepřesných či nesprávných údajů</w:t>
      </w:r>
    </w:p>
    <w:p w:rsidR="0059083A" w:rsidRPr="00B00020" w:rsidRDefault="0059083A" w:rsidP="0059083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</w:pPr>
      <w:r w:rsidRPr="00B00020">
        <w:t>- nejlepší je tedy stručně zapsat v průběhu rozhovoru nejnutnější údaje a ihned po ukončení udělat podrobný záznam</w:t>
      </w:r>
    </w:p>
    <w:p w:rsidR="0059083A" w:rsidRPr="00B00020" w:rsidRDefault="0059083A" w:rsidP="0059083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</w:pPr>
      <w:r w:rsidRPr="00B00020">
        <w:t xml:space="preserve">- </w:t>
      </w:r>
      <w:r>
        <w:t xml:space="preserve">audiozáznam naráží na </w:t>
      </w:r>
      <w:r w:rsidRPr="00B00020">
        <w:t xml:space="preserve">etické </w:t>
      </w:r>
      <w:r>
        <w:t xml:space="preserve">a právní </w:t>
      </w:r>
      <w:r w:rsidRPr="00B00020">
        <w:t>aspekty, navíc přepis trvá strašně dlouho</w:t>
      </w:r>
    </w:p>
    <w:p w:rsidR="0059083A" w:rsidRPr="00B00020" w:rsidRDefault="0059083A" w:rsidP="0059083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</w:pPr>
      <w:r w:rsidRPr="00B00020">
        <w:t xml:space="preserve">- součástí záznamu rozhovoru musí být i záznam </w:t>
      </w:r>
      <w:r>
        <w:t xml:space="preserve">o </w:t>
      </w:r>
      <w:r w:rsidRPr="00B00020">
        <w:t xml:space="preserve">chování </w:t>
      </w:r>
      <w:r>
        <w:t xml:space="preserve">vyšetřované osoby </w:t>
      </w:r>
      <w:r w:rsidRPr="00B00020">
        <w:t>během rozhovoru</w:t>
      </w:r>
      <w:r w:rsidR="005002F2">
        <w:t xml:space="preserve"> (Svoboda, 2013).</w:t>
      </w:r>
    </w:p>
    <w:p w:rsidR="0059083A" w:rsidRDefault="0059083A" w:rsidP="0059083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u w:val="single"/>
        </w:rPr>
      </w:pPr>
    </w:p>
    <w:p w:rsidR="0059083A" w:rsidRDefault="0059083A" w:rsidP="0059083A">
      <w:pPr>
        <w:spacing w:line="360" w:lineRule="auto"/>
        <w:jc w:val="both"/>
        <w:rPr>
          <w:b/>
          <w:bCs/>
          <w:color w:val="0000FF"/>
        </w:rPr>
      </w:pPr>
    </w:p>
    <w:p w:rsidR="0059083A" w:rsidRPr="00D2504C" w:rsidRDefault="0059083A" w:rsidP="0059083A">
      <w:pPr>
        <w:spacing w:line="360" w:lineRule="auto"/>
        <w:jc w:val="both"/>
        <w:rPr>
          <w:color w:val="000000"/>
        </w:rPr>
      </w:pPr>
      <w:r w:rsidRPr="00D2504C">
        <w:rPr>
          <w:b/>
          <w:bCs/>
          <w:color w:val="0000FF"/>
        </w:rPr>
        <w:t>Rozložení času při zjišťovacím rozhovoru</w:t>
      </w:r>
    </w:p>
    <w:p w:rsidR="0059083A" w:rsidRPr="00D2504C" w:rsidRDefault="0059083A" w:rsidP="0059083A">
      <w:pPr>
        <w:spacing w:line="360" w:lineRule="auto"/>
        <w:jc w:val="both"/>
        <w:rPr>
          <w:color w:val="000000"/>
        </w:rPr>
      </w:pPr>
    </w:p>
    <w:p w:rsidR="0059083A" w:rsidRDefault="0059083A" w:rsidP="0059083A">
      <w:pPr>
        <w:spacing w:line="360" w:lineRule="auto"/>
        <w:jc w:val="both"/>
        <w:rPr>
          <w:color w:val="000000"/>
        </w:rPr>
      </w:pPr>
      <w:r w:rsidRPr="00D2504C">
        <w:rPr>
          <w:color w:val="000000"/>
        </w:rPr>
        <w:t>Pravidlo rozložení času při diagnostickém rozhovoru znázorňuje o</w:t>
      </w:r>
      <w:r>
        <w:rPr>
          <w:color w:val="000000"/>
        </w:rPr>
        <w:t>brázek</w:t>
      </w:r>
      <w:r w:rsidRPr="00D2504C">
        <w:t xml:space="preserve">. </w:t>
      </w:r>
      <w:r w:rsidRPr="00D2504C">
        <w:rPr>
          <w:color w:val="000000"/>
        </w:rPr>
        <w:t>K uvedenému rozložení se lze dostat pouze cílenou formulací otázek.</w:t>
      </w:r>
    </w:p>
    <w:p w:rsidR="0059083A" w:rsidRPr="00D2504C" w:rsidRDefault="0059083A" w:rsidP="0059083A">
      <w:pPr>
        <w:spacing w:line="360" w:lineRule="auto"/>
        <w:jc w:val="center"/>
      </w:pPr>
      <w:r w:rsidRPr="00D2504C">
        <w:rPr>
          <w:noProof/>
          <w:color w:val="000000"/>
        </w:rPr>
        <w:drawing>
          <wp:inline distT="0" distB="0" distL="0" distR="0">
            <wp:extent cx="2345690" cy="1503045"/>
            <wp:effectExtent l="19050" t="0" r="0" b="0"/>
            <wp:docPr id="7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5690" cy="15030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9083A" w:rsidRPr="00D2504C" w:rsidRDefault="0059083A" w:rsidP="0059083A">
      <w:pPr>
        <w:spacing w:line="360" w:lineRule="auto"/>
        <w:jc w:val="both"/>
      </w:pPr>
    </w:p>
    <w:p w:rsidR="0059083A" w:rsidRPr="00D2504C" w:rsidRDefault="0059083A" w:rsidP="0059083A">
      <w:pPr>
        <w:spacing w:line="360" w:lineRule="auto"/>
        <w:jc w:val="both"/>
      </w:pPr>
      <w:r w:rsidRPr="00D2504C">
        <w:rPr>
          <w:b/>
          <w:bCs/>
          <w:color w:val="0000FF"/>
        </w:rPr>
        <w:t>Druhy otázek</w:t>
      </w:r>
    </w:p>
    <w:p w:rsidR="0059083A" w:rsidRPr="00D2504C" w:rsidRDefault="0059083A" w:rsidP="0059083A">
      <w:pPr>
        <w:spacing w:line="360" w:lineRule="auto"/>
        <w:jc w:val="both"/>
      </w:pPr>
    </w:p>
    <w:p w:rsidR="0059083A" w:rsidRPr="00D2504C" w:rsidRDefault="0059083A" w:rsidP="0059083A">
      <w:pPr>
        <w:spacing w:line="360" w:lineRule="auto"/>
        <w:jc w:val="both"/>
        <w:rPr>
          <w:color w:val="000000"/>
        </w:rPr>
      </w:pPr>
      <w:r w:rsidRPr="00D2504C">
        <w:rPr>
          <w:color w:val="000000"/>
        </w:rPr>
        <w:t>V úvodní fázi rozhovoru volit vždy otevřené otázky. Funkce uzavřených otázek je pouze doplňková a zpřesňující. Uzavřené otázky rozhovor zrychlují, proto je vhodné volit maximálně dvě za sebou.</w:t>
      </w:r>
    </w:p>
    <w:p w:rsidR="0059083A" w:rsidRPr="00D2504C" w:rsidRDefault="0059083A" w:rsidP="0059083A">
      <w:pPr>
        <w:spacing w:line="360" w:lineRule="auto"/>
        <w:jc w:val="both"/>
      </w:pPr>
    </w:p>
    <w:p w:rsidR="0059083A" w:rsidRPr="00D2504C" w:rsidRDefault="0059083A" w:rsidP="0059083A">
      <w:pPr>
        <w:spacing w:line="360" w:lineRule="auto"/>
        <w:jc w:val="center"/>
        <w:rPr>
          <w:color w:val="808080"/>
        </w:rPr>
      </w:pPr>
      <w:r w:rsidRPr="00D2504C">
        <w:rPr>
          <w:noProof/>
        </w:rPr>
        <w:drawing>
          <wp:inline distT="0" distB="0" distL="0" distR="0">
            <wp:extent cx="2854325" cy="2138680"/>
            <wp:effectExtent l="19050" t="0" r="3175" b="0"/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4325" cy="21386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9083A" w:rsidRPr="00D2504C" w:rsidRDefault="0059083A" w:rsidP="0059083A">
      <w:pPr>
        <w:spacing w:line="360" w:lineRule="auto"/>
        <w:jc w:val="both"/>
      </w:pPr>
    </w:p>
    <w:p w:rsidR="0059083A" w:rsidRPr="00D2504C" w:rsidRDefault="0059083A" w:rsidP="0059083A">
      <w:pPr>
        <w:spacing w:line="360" w:lineRule="auto"/>
        <w:jc w:val="both"/>
      </w:pPr>
      <w:r w:rsidRPr="00D2504C">
        <w:rPr>
          <w:b/>
          <w:bCs/>
          <w:color w:val="0000FF"/>
        </w:rPr>
        <w:t>Doporučené reakce</w:t>
      </w:r>
    </w:p>
    <w:p w:rsidR="0059083A" w:rsidRPr="00D2504C" w:rsidRDefault="0059083A" w:rsidP="0059083A">
      <w:pPr>
        <w:spacing w:line="360" w:lineRule="auto"/>
        <w:jc w:val="both"/>
      </w:pPr>
    </w:p>
    <w:p w:rsidR="0059083A" w:rsidRPr="00D2504C" w:rsidRDefault="0059083A" w:rsidP="0059083A">
      <w:pPr>
        <w:spacing w:line="360" w:lineRule="auto"/>
        <w:jc w:val="both"/>
        <w:rPr>
          <w:color w:val="000000"/>
        </w:rPr>
      </w:pPr>
      <w:r w:rsidRPr="00D2504C">
        <w:rPr>
          <w:color w:val="000000"/>
        </w:rPr>
        <w:t xml:space="preserve">V běžném rozhovoru používáme hodnotící, interpretující, podporující, zjišťující </w:t>
      </w:r>
      <w:r w:rsidRPr="00D2504C">
        <w:rPr>
          <w:color w:val="000000"/>
        </w:rPr>
        <w:lastRenderedPageBreak/>
        <w:t>reakce a reakce porozumění. Pro představu je konkretizuje tabulka.</w:t>
      </w:r>
    </w:p>
    <w:p w:rsidR="0059083A" w:rsidRPr="00D2504C" w:rsidRDefault="0059083A" w:rsidP="0059083A">
      <w:pPr>
        <w:spacing w:line="360" w:lineRule="auto"/>
        <w:jc w:val="both"/>
      </w:pPr>
    </w:p>
    <w:p w:rsidR="0059083A" w:rsidRPr="00D2504C" w:rsidRDefault="0059083A" w:rsidP="0059083A">
      <w:pPr>
        <w:spacing w:line="360" w:lineRule="auto"/>
        <w:jc w:val="center"/>
        <w:rPr>
          <w:color w:val="808080"/>
        </w:rPr>
      </w:pPr>
      <w:r w:rsidRPr="00D2504C">
        <w:rPr>
          <w:noProof/>
        </w:rPr>
        <w:drawing>
          <wp:inline distT="0" distB="0" distL="0" distR="0">
            <wp:extent cx="5139753" cy="1990725"/>
            <wp:effectExtent l="19050" t="0" r="3747" b="0"/>
            <wp:docPr id="5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2707" cy="19918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9083A" w:rsidRPr="00D2504C" w:rsidRDefault="0059083A" w:rsidP="0059083A">
      <w:pPr>
        <w:spacing w:line="360" w:lineRule="auto"/>
        <w:jc w:val="both"/>
        <w:rPr>
          <w:color w:val="000000"/>
        </w:rPr>
      </w:pPr>
    </w:p>
    <w:p w:rsidR="0059083A" w:rsidRPr="00D2504C" w:rsidRDefault="0059083A" w:rsidP="0059083A">
      <w:pPr>
        <w:spacing w:line="360" w:lineRule="auto"/>
        <w:jc w:val="both"/>
        <w:rPr>
          <w:color w:val="000000"/>
        </w:rPr>
      </w:pPr>
      <w:r w:rsidRPr="00D2504C">
        <w:rPr>
          <w:color w:val="000000"/>
        </w:rPr>
        <w:t xml:space="preserve">V rámci diagnostického rozhovoru se však smí používat pouze: </w:t>
      </w:r>
    </w:p>
    <w:p w:rsidR="0059083A" w:rsidRPr="00D2504C" w:rsidRDefault="0059083A" w:rsidP="0059083A">
      <w:pPr>
        <w:numPr>
          <w:ilvl w:val="0"/>
          <w:numId w:val="1"/>
        </w:numPr>
        <w:tabs>
          <w:tab w:val="left" w:pos="720"/>
        </w:tabs>
        <w:spacing w:line="360" w:lineRule="auto"/>
        <w:jc w:val="both"/>
        <w:rPr>
          <w:color w:val="000000"/>
        </w:rPr>
      </w:pPr>
      <w:r w:rsidRPr="00D2504C">
        <w:rPr>
          <w:color w:val="000000"/>
        </w:rPr>
        <w:t xml:space="preserve">     zjišťující reakce </w:t>
      </w:r>
    </w:p>
    <w:p w:rsidR="0059083A" w:rsidRPr="00D2504C" w:rsidRDefault="0059083A" w:rsidP="0059083A">
      <w:pPr>
        <w:numPr>
          <w:ilvl w:val="0"/>
          <w:numId w:val="1"/>
        </w:numPr>
        <w:spacing w:line="360" w:lineRule="auto"/>
        <w:jc w:val="both"/>
        <w:rPr>
          <w:color w:val="000000"/>
        </w:rPr>
      </w:pPr>
      <w:r w:rsidRPr="00D2504C">
        <w:rPr>
          <w:color w:val="000000"/>
        </w:rPr>
        <w:t xml:space="preserve">     reakce porozumění</w:t>
      </w:r>
    </w:p>
    <w:p w:rsidR="0059083A" w:rsidRPr="00D2504C" w:rsidRDefault="0059083A" w:rsidP="0059083A">
      <w:pPr>
        <w:numPr>
          <w:ilvl w:val="0"/>
          <w:numId w:val="1"/>
        </w:numPr>
        <w:spacing w:line="360" w:lineRule="auto"/>
        <w:jc w:val="both"/>
      </w:pPr>
      <w:r w:rsidRPr="00D2504C">
        <w:rPr>
          <w:color w:val="000000"/>
        </w:rPr>
        <w:t xml:space="preserve">     podporující reakce (v případě podpory komunikace) </w:t>
      </w:r>
    </w:p>
    <w:p w:rsidR="0059083A" w:rsidRPr="00D2504C" w:rsidRDefault="0059083A" w:rsidP="0059083A">
      <w:pPr>
        <w:spacing w:line="360" w:lineRule="auto"/>
        <w:jc w:val="both"/>
      </w:pPr>
    </w:p>
    <w:p w:rsidR="0059083A" w:rsidRPr="00D2504C" w:rsidRDefault="0059083A" w:rsidP="0059083A">
      <w:pPr>
        <w:spacing w:line="360" w:lineRule="auto"/>
        <w:jc w:val="both"/>
        <w:rPr>
          <w:color w:val="000000"/>
        </w:rPr>
      </w:pPr>
      <w:r w:rsidRPr="00D2504C">
        <w:rPr>
          <w:b/>
          <w:bCs/>
          <w:i/>
          <w:iCs/>
          <w:color w:val="000000"/>
        </w:rPr>
        <w:t xml:space="preserve">Do diagnostické části rozhovoru nelze zatahovat emoce, </w:t>
      </w:r>
      <w:r w:rsidRPr="00D2504C">
        <w:rPr>
          <w:i/>
          <w:iCs/>
          <w:color w:val="000000"/>
        </w:rPr>
        <w:t>proto není dovoleno</w:t>
      </w:r>
      <w:r>
        <w:rPr>
          <w:i/>
          <w:iCs/>
          <w:color w:val="000000"/>
        </w:rPr>
        <w:t>…</w:t>
      </w:r>
      <w:r w:rsidRPr="00D2504C">
        <w:rPr>
          <w:color w:val="000000"/>
        </w:rPr>
        <w:t>.</w:t>
      </w:r>
    </w:p>
    <w:p w:rsidR="0059083A" w:rsidRPr="00D2504C" w:rsidRDefault="0059083A" w:rsidP="0059083A">
      <w:pPr>
        <w:spacing w:line="360" w:lineRule="auto"/>
        <w:jc w:val="both"/>
        <w:rPr>
          <w:color w:val="000000"/>
        </w:rPr>
      </w:pPr>
    </w:p>
    <w:p w:rsidR="0059083A" w:rsidRPr="00D2504C" w:rsidRDefault="0059083A" w:rsidP="0059083A">
      <w:pPr>
        <w:spacing w:line="360" w:lineRule="auto"/>
        <w:jc w:val="center"/>
        <w:rPr>
          <w:color w:val="808080"/>
        </w:rPr>
      </w:pPr>
      <w:r w:rsidRPr="00D2504C">
        <w:rPr>
          <w:noProof/>
        </w:rPr>
        <w:drawing>
          <wp:inline distT="0" distB="0" distL="0" distR="0">
            <wp:extent cx="4514850" cy="3382873"/>
            <wp:effectExtent l="19050" t="0" r="0" b="0"/>
            <wp:docPr id="6" name="obráze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4850" cy="33828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9083A" w:rsidRPr="00D2504C" w:rsidRDefault="0059083A" w:rsidP="0059083A">
      <w:pPr>
        <w:spacing w:line="360" w:lineRule="auto"/>
        <w:jc w:val="both"/>
        <w:rPr>
          <w:color w:val="000000"/>
        </w:rPr>
      </w:pPr>
    </w:p>
    <w:p w:rsidR="0059083A" w:rsidRPr="00D2504C" w:rsidRDefault="0059083A" w:rsidP="0059083A">
      <w:pPr>
        <w:spacing w:line="360" w:lineRule="auto"/>
        <w:jc w:val="both"/>
        <w:rPr>
          <w:color w:val="000000"/>
        </w:rPr>
      </w:pPr>
      <w:r w:rsidRPr="00D2504C">
        <w:rPr>
          <w:b/>
          <w:bCs/>
          <w:color w:val="0000FF"/>
        </w:rPr>
        <w:t>Kdy nelze diagnostický rozhovor provádět</w:t>
      </w:r>
    </w:p>
    <w:p w:rsidR="0059083A" w:rsidRPr="00D2504C" w:rsidRDefault="0059083A" w:rsidP="0059083A">
      <w:pPr>
        <w:spacing w:line="360" w:lineRule="auto"/>
        <w:jc w:val="both"/>
        <w:rPr>
          <w:color w:val="000000"/>
        </w:rPr>
      </w:pPr>
    </w:p>
    <w:p w:rsidR="0059083A" w:rsidRPr="00D2504C" w:rsidRDefault="0059083A" w:rsidP="0059083A">
      <w:pPr>
        <w:spacing w:line="360" w:lineRule="auto"/>
        <w:jc w:val="both"/>
        <w:rPr>
          <w:color w:val="000000"/>
          <w:u w:val="single"/>
        </w:rPr>
      </w:pPr>
      <w:r w:rsidRPr="00D2504C">
        <w:rPr>
          <w:color w:val="000000"/>
        </w:rPr>
        <w:t xml:space="preserve">Diagnostický rozhovor také nelze provádět, pokud: </w:t>
      </w:r>
    </w:p>
    <w:p w:rsidR="0059083A" w:rsidRPr="00D2504C" w:rsidRDefault="0059083A" w:rsidP="0059083A">
      <w:pPr>
        <w:tabs>
          <w:tab w:val="left" w:pos="720"/>
        </w:tabs>
        <w:spacing w:line="360" w:lineRule="auto"/>
        <w:ind w:left="360" w:hanging="360"/>
        <w:jc w:val="both"/>
        <w:rPr>
          <w:color w:val="000000"/>
        </w:rPr>
      </w:pPr>
      <w:proofErr w:type="gramStart"/>
      <w:r w:rsidRPr="00D2504C">
        <w:rPr>
          <w:color w:val="000000"/>
        </w:rPr>
        <w:t>•     nemám</w:t>
      </w:r>
      <w:proofErr w:type="gramEnd"/>
      <w:r w:rsidRPr="00D2504C">
        <w:rPr>
          <w:color w:val="000000"/>
        </w:rPr>
        <w:t xml:space="preserve"> kde, </w:t>
      </w:r>
    </w:p>
    <w:p w:rsidR="0059083A" w:rsidRPr="00D2504C" w:rsidRDefault="0059083A" w:rsidP="0059083A">
      <w:pPr>
        <w:spacing w:line="360" w:lineRule="auto"/>
        <w:ind w:left="360" w:hanging="360"/>
        <w:jc w:val="both"/>
        <w:rPr>
          <w:color w:val="000000"/>
        </w:rPr>
      </w:pPr>
      <w:proofErr w:type="gramStart"/>
      <w:r w:rsidRPr="00D2504C">
        <w:rPr>
          <w:color w:val="000000"/>
        </w:rPr>
        <w:t>•     nemám</w:t>
      </w:r>
      <w:proofErr w:type="gramEnd"/>
      <w:r w:rsidRPr="00D2504C">
        <w:rPr>
          <w:color w:val="000000"/>
        </w:rPr>
        <w:t xml:space="preserve"> dostatek nepřerušovaného času, </w:t>
      </w:r>
    </w:p>
    <w:p w:rsidR="0059083A" w:rsidRPr="00D2504C" w:rsidRDefault="0059083A" w:rsidP="0059083A">
      <w:pPr>
        <w:spacing w:line="360" w:lineRule="auto"/>
        <w:ind w:left="360" w:hanging="360"/>
        <w:jc w:val="both"/>
        <w:rPr>
          <w:color w:val="000000"/>
        </w:rPr>
      </w:pPr>
      <w:proofErr w:type="gramStart"/>
      <w:r w:rsidRPr="00D2504C">
        <w:rPr>
          <w:color w:val="000000"/>
        </w:rPr>
        <w:t>•     jsem</w:t>
      </w:r>
      <w:proofErr w:type="gramEnd"/>
      <w:r w:rsidRPr="00D2504C">
        <w:rPr>
          <w:color w:val="000000"/>
        </w:rPr>
        <w:t xml:space="preserve"> neměl čas se připravit, </w:t>
      </w:r>
    </w:p>
    <w:p w:rsidR="0059083A" w:rsidRPr="00D2504C" w:rsidRDefault="0059083A" w:rsidP="0059083A">
      <w:pPr>
        <w:spacing w:line="360" w:lineRule="auto"/>
        <w:ind w:left="360" w:hanging="360"/>
        <w:jc w:val="both"/>
        <w:rPr>
          <w:color w:val="000000"/>
        </w:rPr>
      </w:pPr>
      <w:proofErr w:type="gramStart"/>
      <w:r w:rsidRPr="00D2504C">
        <w:rPr>
          <w:color w:val="000000"/>
        </w:rPr>
        <w:t>•     nemá</w:t>
      </w:r>
      <w:proofErr w:type="gramEnd"/>
      <w:r w:rsidRPr="00D2504C">
        <w:rPr>
          <w:color w:val="000000"/>
        </w:rPr>
        <w:t xml:space="preserve"> čas ten druhý, </w:t>
      </w:r>
    </w:p>
    <w:p w:rsidR="0059083A" w:rsidRPr="00D2504C" w:rsidRDefault="0059083A" w:rsidP="0059083A">
      <w:pPr>
        <w:spacing w:line="360" w:lineRule="auto"/>
        <w:ind w:left="360" w:hanging="360"/>
        <w:jc w:val="both"/>
        <w:rPr>
          <w:color w:val="000000"/>
        </w:rPr>
      </w:pPr>
      <w:proofErr w:type="gramStart"/>
      <w:r w:rsidRPr="00D2504C">
        <w:rPr>
          <w:color w:val="000000"/>
        </w:rPr>
        <w:t>•     jsem</w:t>
      </w:r>
      <w:proofErr w:type="gramEnd"/>
      <w:r w:rsidRPr="00D2504C">
        <w:rPr>
          <w:color w:val="000000"/>
        </w:rPr>
        <w:t xml:space="preserve"> líný přemýšlet, </w:t>
      </w:r>
    </w:p>
    <w:p w:rsidR="0059083A" w:rsidRPr="00D2504C" w:rsidRDefault="0059083A" w:rsidP="0059083A">
      <w:pPr>
        <w:spacing w:line="360" w:lineRule="auto"/>
        <w:ind w:left="360" w:hanging="360"/>
        <w:jc w:val="both"/>
        <w:rPr>
          <w:color w:val="000000"/>
        </w:rPr>
      </w:pPr>
      <w:proofErr w:type="gramStart"/>
      <w:r w:rsidRPr="00D2504C">
        <w:rPr>
          <w:color w:val="000000"/>
        </w:rPr>
        <w:t>•     jsem</w:t>
      </w:r>
      <w:proofErr w:type="gramEnd"/>
      <w:r w:rsidRPr="00D2504C">
        <w:rPr>
          <w:color w:val="000000"/>
        </w:rPr>
        <w:t xml:space="preserve"> nejistý, </w:t>
      </w:r>
    </w:p>
    <w:p w:rsidR="0059083A" w:rsidRPr="00D2504C" w:rsidRDefault="0059083A" w:rsidP="0059083A">
      <w:pPr>
        <w:spacing w:line="360" w:lineRule="auto"/>
        <w:ind w:left="360" w:hanging="360"/>
        <w:jc w:val="both"/>
        <w:rPr>
          <w:color w:val="000000"/>
        </w:rPr>
      </w:pPr>
      <w:proofErr w:type="gramStart"/>
      <w:r w:rsidRPr="00D2504C">
        <w:rPr>
          <w:color w:val="000000"/>
        </w:rPr>
        <w:t>•     mám</w:t>
      </w:r>
      <w:proofErr w:type="gramEnd"/>
      <w:r w:rsidRPr="00D2504C">
        <w:rPr>
          <w:color w:val="000000"/>
        </w:rPr>
        <w:t xml:space="preserve"> poruchu pozornosti, </w:t>
      </w:r>
    </w:p>
    <w:p w:rsidR="0059083A" w:rsidRPr="00D2504C" w:rsidRDefault="0059083A" w:rsidP="0059083A">
      <w:pPr>
        <w:spacing w:line="360" w:lineRule="auto"/>
        <w:ind w:left="360" w:hanging="360"/>
        <w:jc w:val="both"/>
        <w:rPr>
          <w:color w:val="000000"/>
        </w:rPr>
      </w:pPr>
      <w:proofErr w:type="gramStart"/>
      <w:r w:rsidRPr="00D2504C">
        <w:rPr>
          <w:color w:val="000000"/>
        </w:rPr>
        <w:t>•     jsem</w:t>
      </w:r>
      <w:proofErr w:type="gramEnd"/>
      <w:r w:rsidRPr="00D2504C">
        <w:rPr>
          <w:color w:val="000000"/>
        </w:rPr>
        <w:t xml:space="preserve"> příliš zahleděný do sebe, </w:t>
      </w:r>
    </w:p>
    <w:p w:rsidR="0059083A" w:rsidRDefault="0059083A" w:rsidP="0059083A">
      <w:pPr>
        <w:spacing w:line="360" w:lineRule="auto"/>
        <w:jc w:val="both"/>
        <w:rPr>
          <w:color w:val="000000"/>
        </w:rPr>
      </w:pPr>
      <w:proofErr w:type="gramStart"/>
      <w:r w:rsidRPr="00D2504C">
        <w:rPr>
          <w:color w:val="000000"/>
        </w:rPr>
        <w:t>•     jsem</w:t>
      </w:r>
      <w:proofErr w:type="gramEnd"/>
      <w:r w:rsidRPr="00D2504C">
        <w:rPr>
          <w:color w:val="000000"/>
        </w:rPr>
        <w:t xml:space="preserve"> příliš soutěživý.</w:t>
      </w:r>
    </w:p>
    <w:p w:rsidR="00174907" w:rsidRDefault="00174907"/>
    <w:sectPr w:rsidR="00174907" w:rsidSect="00174907">
      <w:headerReference w:type="defaul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C3A90" w:rsidRDefault="005C3A90" w:rsidP="007F6589">
      <w:r>
        <w:separator/>
      </w:r>
    </w:p>
  </w:endnote>
  <w:endnote w:type="continuationSeparator" w:id="0">
    <w:p w:rsidR="005C3A90" w:rsidRDefault="005C3A90" w:rsidP="007F65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C3A90" w:rsidRDefault="005C3A90" w:rsidP="007F6589">
      <w:r>
        <w:separator/>
      </w:r>
    </w:p>
  </w:footnote>
  <w:footnote w:type="continuationSeparator" w:id="0">
    <w:p w:rsidR="005C3A90" w:rsidRDefault="005C3A90" w:rsidP="007F658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F6589" w:rsidRDefault="007F6589" w:rsidP="007F6589">
    <w:pPr>
      <w:pStyle w:val="Zhlav"/>
      <w:jc w:val="center"/>
    </w:pPr>
    <w:r>
      <w:rPr>
        <w:noProof/>
      </w:rPr>
      <w:drawing>
        <wp:inline distT="0" distB="0" distL="0" distR="0" wp14:anchorId="67D6512D" wp14:editId="23F50A35">
          <wp:extent cx="4643755" cy="1029335"/>
          <wp:effectExtent l="0" t="0" r="4445" b="0"/>
          <wp:docPr id="3" name="Obrázek 3" descr="\\op.msmt.cz\DavWWWRoot\SiteCollectionDocuments\OPVVV\12_Publicita\Vizuální identita OP VVV - platná loga 2014-2020\02_Logolinky\a) logolink horizontální a vertikální čj barevný\EU OP VVV MSMT logo horizont CZ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Obrázek 8" descr="\\op.msmt.cz\DavWWWRoot\SiteCollectionDocuments\OPVVV\12_Publicita\Vizuální identita OP VVV - platná loga 2014-2020\02_Logolinky\a) logolink horizontální a vertikální čj barevný\EU OP VVV MSMT logo horizont CZ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43755" cy="10293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7F6589" w:rsidRDefault="007F6589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083E9E4E"/>
    <w:lvl w:ilvl="0">
      <w:numFmt w:val="bullet"/>
      <w:lvlText w:val="*"/>
      <w:lvlJc w:val="left"/>
    </w:lvl>
  </w:abstractNum>
  <w:num w:numId="1">
    <w:abstractNumId w:val="0"/>
    <w:lvlOverride w:ilvl="0">
      <w:lvl w:ilvl="0">
        <w:numFmt w:val="bullet"/>
        <w:lvlText w:val=""/>
        <w:legacy w:legacy="1" w:legacySpace="0" w:legacyIndent="100"/>
        <w:lvlJc w:val="left"/>
        <w:rPr>
          <w:rFonts w:ascii="Symbol" w:hAnsi="Symbol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083A"/>
    <w:rsid w:val="00174907"/>
    <w:rsid w:val="005002F2"/>
    <w:rsid w:val="0059083A"/>
    <w:rsid w:val="005C3A90"/>
    <w:rsid w:val="007F6589"/>
    <w:rsid w:val="00D936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FED4A77-9033-4BAE-A54B-3655237FBB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59083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59083A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9083A"/>
    <w:rPr>
      <w:rFonts w:ascii="Tahoma" w:eastAsiaTheme="minorEastAsia" w:hAnsi="Tahoma" w:cs="Tahoma"/>
      <w:sz w:val="16"/>
      <w:szCs w:val="16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7F6589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7F6589"/>
    <w:rPr>
      <w:rFonts w:ascii="Arial" w:eastAsiaTheme="minorEastAsia" w:hAnsi="Arial" w:cs="Arial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7F6589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7F6589"/>
    <w:rPr>
      <w:rFonts w:ascii="Arial" w:eastAsiaTheme="minorEastAsia" w:hAnsi="Arial" w:cs="Arial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272</Words>
  <Characters>1608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ZCU</Company>
  <LinksUpToDate>false</LinksUpToDate>
  <CharactersWithSpaces>1877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lovasov</dc:creator>
  <cp:lastModifiedBy>martin.buk@tiscali.cz</cp:lastModifiedBy>
  <cp:revision>2</cp:revision>
  <dcterms:created xsi:type="dcterms:W3CDTF">2023-02-16T10:45:00Z</dcterms:created>
  <dcterms:modified xsi:type="dcterms:W3CDTF">2023-02-16T10:45:00Z</dcterms:modified>
</cp:coreProperties>
</file>