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D92" w:rsidRDefault="00D84D92" w:rsidP="00D84D92">
      <w:pPr>
        <w:pStyle w:val="Odstavecseseznamem"/>
        <w:numPr>
          <w:ilvl w:val="0"/>
          <w:numId w:val="1"/>
        </w:numPr>
      </w:pPr>
      <w:r>
        <w:t>Hlavní využití elektroforézy bílkovin séra spočívá v</w:t>
      </w:r>
    </w:p>
    <w:p w:rsidR="00D84D92" w:rsidRPr="00F32CC8" w:rsidRDefault="00CB0C83" w:rsidP="00D84D92">
      <w:pPr>
        <w:pStyle w:val="Odstavecseseznamem"/>
        <w:numPr>
          <w:ilvl w:val="1"/>
          <w:numId w:val="1"/>
        </w:numPr>
        <w:rPr>
          <w:b/>
        </w:rPr>
      </w:pPr>
      <w:r>
        <w:rPr>
          <w:b/>
        </w:rPr>
        <w:t>D</w:t>
      </w:r>
      <w:r w:rsidR="00D84D92" w:rsidRPr="00F32CC8">
        <w:rPr>
          <w:b/>
        </w:rPr>
        <w:t xml:space="preserve">iagnostice a sledování </w:t>
      </w:r>
      <w:r w:rsidR="00D84D92">
        <w:rPr>
          <w:b/>
        </w:rPr>
        <w:t xml:space="preserve">průběhu choroby </w:t>
      </w:r>
      <w:r w:rsidR="00D84D92" w:rsidRPr="00F32CC8">
        <w:rPr>
          <w:b/>
        </w:rPr>
        <w:t xml:space="preserve">pacientů s monoklonální </w:t>
      </w:r>
      <w:proofErr w:type="spellStart"/>
      <w:r w:rsidR="00D84D92" w:rsidRPr="00F32CC8">
        <w:rPr>
          <w:b/>
        </w:rPr>
        <w:t>gamapatií</w:t>
      </w:r>
      <w:proofErr w:type="spellEnd"/>
    </w:p>
    <w:p w:rsidR="00D84D92" w:rsidRDefault="00CB0C83" w:rsidP="00D84D92">
      <w:pPr>
        <w:pStyle w:val="Odstavecseseznamem"/>
        <w:numPr>
          <w:ilvl w:val="1"/>
          <w:numId w:val="1"/>
        </w:numPr>
      </w:pPr>
      <w:r>
        <w:t>S</w:t>
      </w:r>
      <w:r w:rsidR="00D84D92">
        <w:t>ledování průběhu akutních zánětů</w:t>
      </w:r>
    </w:p>
    <w:p w:rsidR="00D84D92" w:rsidRDefault="00CB0C83" w:rsidP="00D84D92">
      <w:pPr>
        <w:pStyle w:val="Odstavecseseznamem"/>
        <w:numPr>
          <w:ilvl w:val="1"/>
          <w:numId w:val="1"/>
        </w:numPr>
      </w:pPr>
      <w:r>
        <w:t>D</w:t>
      </w:r>
      <w:r w:rsidR="00D84D92">
        <w:t>iagnostice a sledování pacientů s jaterní cirhózou</w:t>
      </w:r>
    </w:p>
    <w:p w:rsidR="00D84D92" w:rsidRDefault="00CB0C83" w:rsidP="00D84D92">
      <w:pPr>
        <w:pStyle w:val="Odstavecseseznamem"/>
        <w:numPr>
          <w:ilvl w:val="1"/>
          <w:numId w:val="1"/>
        </w:numPr>
      </w:pPr>
      <w:r>
        <w:t>D</w:t>
      </w:r>
      <w:r w:rsidR="00D84D92">
        <w:t>iagnostice a sledování pacientů s nefrotickým syndromem</w:t>
      </w:r>
    </w:p>
    <w:p w:rsidR="00D84D92" w:rsidRDefault="00D84D92" w:rsidP="00D84D92">
      <w:pPr>
        <w:pStyle w:val="Odstavecseseznamem"/>
        <w:numPr>
          <w:ilvl w:val="0"/>
          <w:numId w:val="1"/>
        </w:numPr>
      </w:pPr>
      <w:r>
        <w:t>Pro C-reaktivní protein platí, že</w:t>
      </w:r>
    </w:p>
    <w:p w:rsidR="00D84D92" w:rsidRPr="000B2E3E" w:rsidRDefault="00CB0C83" w:rsidP="00D84D92">
      <w:pPr>
        <w:pStyle w:val="Odstavecseseznamem"/>
        <w:numPr>
          <w:ilvl w:val="1"/>
          <w:numId w:val="1"/>
        </w:numPr>
      </w:pPr>
      <w:r>
        <w:t>J</w:t>
      </w:r>
      <w:r w:rsidR="00D84D92" w:rsidRPr="000B2E3E">
        <w:t>e tvořen zejména v myokardu</w:t>
      </w:r>
    </w:p>
    <w:p w:rsidR="00D84D92" w:rsidRPr="00B57D15" w:rsidRDefault="00CB0C83" w:rsidP="00D84D92">
      <w:pPr>
        <w:pStyle w:val="Odstavecseseznamem"/>
        <w:numPr>
          <w:ilvl w:val="1"/>
          <w:numId w:val="1"/>
        </w:numPr>
      </w:pPr>
      <w:r>
        <w:t>P</w:t>
      </w:r>
      <w:r w:rsidR="00D84D92" w:rsidRPr="00B57D15">
        <w:t>ři bakteriální infekci jsou hodnoty obvykle nižší než při virové</w:t>
      </w:r>
    </w:p>
    <w:p w:rsidR="00D84D92" w:rsidRPr="00B57D15" w:rsidRDefault="00CB0C83" w:rsidP="00D84D92">
      <w:pPr>
        <w:pStyle w:val="Odstavecseseznamem"/>
        <w:numPr>
          <w:ilvl w:val="1"/>
          <w:numId w:val="1"/>
        </w:numPr>
        <w:rPr>
          <w:b/>
        </w:rPr>
      </w:pPr>
      <w:r>
        <w:rPr>
          <w:b/>
        </w:rPr>
        <w:t>J</w:t>
      </w:r>
      <w:r w:rsidR="00D84D92" w:rsidRPr="00B57D15">
        <w:rPr>
          <w:b/>
        </w:rPr>
        <w:t>e hojně využíván v diagnostice a monitoraci zánětlivých onemocnění</w:t>
      </w:r>
    </w:p>
    <w:p w:rsidR="00D84D92" w:rsidRDefault="00CB0C83" w:rsidP="00D84D92">
      <w:pPr>
        <w:pStyle w:val="Odstavecseseznamem"/>
        <w:numPr>
          <w:ilvl w:val="1"/>
          <w:numId w:val="1"/>
        </w:numPr>
      </w:pPr>
      <w:r>
        <w:t>M</w:t>
      </w:r>
      <w:r w:rsidR="00D84D92" w:rsidRPr="00B57D15">
        <w:t xml:space="preserve">á rychlejší dynamiku než </w:t>
      </w:r>
      <w:proofErr w:type="spellStart"/>
      <w:r w:rsidR="00D84D92" w:rsidRPr="00B57D15">
        <w:t>prokalcitonin</w:t>
      </w:r>
      <w:proofErr w:type="spellEnd"/>
    </w:p>
    <w:p w:rsidR="00D84D92" w:rsidRDefault="00D84D92" w:rsidP="00D84D92">
      <w:pPr>
        <w:pStyle w:val="Odstavecseseznamem"/>
        <w:numPr>
          <w:ilvl w:val="0"/>
          <w:numId w:val="1"/>
        </w:numPr>
      </w:pPr>
      <w:r>
        <w:t>Při elektroforetickém vyšetření séra je třeba indikovat současně</w:t>
      </w:r>
    </w:p>
    <w:p w:rsidR="00D84D92" w:rsidRPr="00AF175E" w:rsidRDefault="00CB0C83" w:rsidP="00D84D92">
      <w:pPr>
        <w:pStyle w:val="Odstavecseseznamem"/>
        <w:numPr>
          <w:ilvl w:val="1"/>
          <w:numId w:val="1"/>
        </w:numPr>
        <w:rPr>
          <w:b/>
        </w:rPr>
      </w:pPr>
      <w:r>
        <w:rPr>
          <w:b/>
        </w:rPr>
        <w:t>E</w:t>
      </w:r>
      <w:r w:rsidR="00D84D92">
        <w:rPr>
          <w:b/>
        </w:rPr>
        <w:t xml:space="preserve">lektroforézu </w:t>
      </w:r>
      <w:r w:rsidR="00D84D92" w:rsidRPr="00AF175E">
        <w:rPr>
          <w:b/>
        </w:rPr>
        <w:t>bílkovin moče</w:t>
      </w:r>
    </w:p>
    <w:p w:rsidR="00D84D92" w:rsidRDefault="00CB0C83" w:rsidP="00D84D92">
      <w:pPr>
        <w:pStyle w:val="Odstavecseseznamem"/>
        <w:numPr>
          <w:ilvl w:val="1"/>
          <w:numId w:val="1"/>
        </w:numPr>
      </w:pPr>
      <w:proofErr w:type="spellStart"/>
      <w:r>
        <w:t>I</w:t>
      </w:r>
      <w:r w:rsidR="00D84D92">
        <w:t>munofixační</w:t>
      </w:r>
      <w:proofErr w:type="spellEnd"/>
      <w:r w:rsidR="00D84D92">
        <w:t xml:space="preserve"> elektroforézu bílkovin séra</w:t>
      </w:r>
    </w:p>
    <w:p w:rsidR="00D84D92" w:rsidRPr="00184EB7" w:rsidRDefault="00CB0C83" w:rsidP="00D84D92">
      <w:pPr>
        <w:pStyle w:val="Odstavecseseznamem"/>
        <w:numPr>
          <w:ilvl w:val="1"/>
          <w:numId w:val="1"/>
        </w:numPr>
      </w:pPr>
      <w:r>
        <w:t>E</w:t>
      </w:r>
      <w:r w:rsidR="00D84D92" w:rsidRPr="00184EB7">
        <w:t>lektroforézu plazmy</w:t>
      </w:r>
    </w:p>
    <w:p w:rsidR="00D84D92" w:rsidRDefault="00CB0C83" w:rsidP="00D84D92">
      <w:pPr>
        <w:pStyle w:val="Odstavecseseznamem"/>
        <w:numPr>
          <w:ilvl w:val="1"/>
          <w:numId w:val="1"/>
        </w:numPr>
      </w:pPr>
      <w:r>
        <w:t>I</w:t>
      </w:r>
      <w:r w:rsidR="00D84D92">
        <w:t>zoelektrickou fokusaci séra</w:t>
      </w:r>
    </w:p>
    <w:p w:rsidR="00D84D92" w:rsidRPr="00401907" w:rsidRDefault="00D84D92" w:rsidP="00D84D92">
      <w:pPr>
        <w:pStyle w:val="Odstavecseseznamem"/>
        <w:numPr>
          <w:ilvl w:val="0"/>
          <w:numId w:val="1"/>
        </w:numPr>
        <w:spacing w:after="0" w:line="240" w:lineRule="auto"/>
      </w:pPr>
      <w:r w:rsidRPr="00401907">
        <w:t>Pro imunoglobuliny platí:</w:t>
      </w:r>
    </w:p>
    <w:p w:rsidR="00D84D92" w:rsidRPr="00401907" w:rsidRDefault="00D84D92" w:rsidP="00D84D92">
      <w:pPr>
        <w:pStyle w:val="Odstavecseseznamem"/>
        <w:numPr>
          <w:ilvl w:val="1"/>
          <w:numId w:val="1"/>
        </w:numPr>
        <w:spacing w:after="0" w:line="240" w:lineRule="auto"/>
      </w:pPr>
      <w:proofErr w:type="spellStart"/>
      <w:r w:rsidRPr="00401907">
        <w:t>IgA</w:t>
      </w:r>
      <w:proofErr w:type="spellEnd"/>
      <w:r w:rsidRPr="00401907">
        <w:t xml:space="preserve"> tvoří </w:t>
      </w:r>
      <w:proofErr w:type="spellStart"/>
      <w:r w:rsidRPr="00401907">
        <w:t>pentamery</w:t>
      </w:r>
      <w:proofErr w:type="spellEnd"/>
      <w:r w:rsidRPr="00401907">
        <w:t xml:space="preserve"> na povrchu sliznic.</w:t>
      </w:r>
    </w:p>
    <w:p w:rsidR="00D84D92" w:rsidRPr="008443E1" w:rsidRDefault="00D84D92" w:rsidP="00D84D92">
      <w:pPr>
        <w:pStyle w:val="Odstavecseseznamem"/>
        <w:numPr>
          <w:ilvl w:val="1"/>
          <w:numId w:val="1"/>
        </w:numPr>
        <w:spacing w:after="0" w:line="240" w:lineRule="auto"/>
        <w:rPr>
          <w:b/>
        </w:rPr>
      </w:pPr>
      <w:proofErr w:type="spellStart"/>
      <w:r w:rsidRPr="00401907">
        <w:rPr>
          <w:b/>
        </w:rPr>
        <w:t>IgE</w:t>
      </w:r>
      <w:proofErr w:type="spellEnd"/>
      <w:r w:rsidRPr="00401907">
        <w:rPr>
          <w:b/>
        </w:rPr>
        <w:t xml:space="preserve"> jsou zvýšeny u alergiků.</w:t>
      </w:r>
    </w:p>
    <w:p w:rsidR="00D84D92" w:rsidRPr="00401907" w:rsidRDefault="00D84D92" w:rsidP="00D84D92">
      <w:pPr>
        <w:pStyle w:val="Odstavecseseznamem"/>
        <w:numPr>
          <w:ilvl w:val="1"/>
          <w:numId w:val="1"/>
        </w:numPr>
        <w:spacing w:after="0" w:line="240" w:lineRule="auto"/>
        <w:rPr>
          <w:b/>
        </w:rPr>
      </w:pPr>
      <w:proofErr w:type="spellStart"/>
      <w:r w:rsidRPr="00401907">
        <w:rPr>
          <w:b/>
        </w:rPr>
        <w:t>IgG</w:t>
      </w:r>
      <w:proofErr w:type="spellEnd"/>
      <w:r w:rsidRPr="00401907">
        <w:rPr>
          <w:b/>
        </w:rPr>
        <w:t xml:space="preserve"> procházejí placentou.</w:t>
      </w:r>
    </w:p>
    <w:p w:rsidR="00D84D92" w:rsidRPr="00401907" w:rsidRDefault="00D84D92" w:rsidP="00D84D92">
      <w:pPr>
        <w:pStyle w:val="Odstavecseseznamem"/>
        <w:numPr>
          <w:ilvl w:val="1"/>
          <w:numId w:val="1"/>
        </w:numPr>
        <w:spacing w:after="0" w:line="240" w:lineRule="auto"/>
      </w:pPr>
      <w:proofErr w:type="spellStart"/>
      <w:r w:rsidRPr="00401907">
        <w:t>IgM</w:t>
      </w:r>
      <w:proofErr w:type="spellEnd"/>
      <w:r w:rsidRPr="00401907">
        <w:t xml:space="preserve"> tvoří dimery o molekulové hmotnosti až 970 000.</w:t>
      </w:r>
    </w:p>
    <w:p w:rsidR="00D84D92" w:rsidRPr="00401907" w:rsidRDefault="00D84D92" w:rsidP="00D84D92">
      <w:pPr>
        <w:pStyle w:val="Odstavecseseznamem"/>
        <w:numPr>
          <w:ilvl w:val="0"/>
          <w:numId w:val="1"/>
        </w:numPr>
        <w:spacing w:after="0" w:line="240" w:lineRule="auto"/>
      </w:pPr>
      <w:r w:rsidRPr="00401907">
        <w:t>V diferenciální diagnostic</w:t>
      </w:r>
      <w:r>
        <w:t xml:space="preserve">e dušnosti je využitelný </w:t>
      </w:r>
      <w:proofErr w:type="spellStart"/>
      <w:r>
        <w:t>marker</w:t>
      </w:r>
      <w:proofErr w:type="spellEnd"/>
    </w:p>
    <w:p w:rsidR="00D84D92" w:rsidRPr="00401907" w:rsidRDefault="00D84D92" w:rsidP="00D84D92">
      <w:pPr>
        <w:pStyle w:val="Odstavecseseznamem"/>
        <w:numPr>
          <w:ilvl w:val="1"/>
          <w:numId w:val="1"/>
        </w:numPr>
        <w:spacing w:after="0" w:line="240" w:lineRule="auto"/>
      </w:pPr>
      <w:r w:rsidRPr="00401907">
        <w:t>ANP</w:t>
      </w:r>
    </w:p>
    <w:p w:rsidR="00D84D92" w:rsidRPr="00401907" w:rsidRDefault="00D84D92" w:rsidP="00D84D92">
      <w:pPr>
        <w:pStyle w:val="Odstavecseseznamem"/>
        <w:numPr>
          <w:ilvl w:val="1"/>
          <w:numId w:val="1"/>
        </w:numPr>
        <w:spacing w:after="0" w:line="240" w:lineRule="auto"/>
        <w:rPr>
          <w:b/>
        </w:rPr>
      </w:pPr>
      <w:r w:rsidRPr="00401907">
        <w:rPr>
          <w:b/>
        </w:rPr>
        <w:t>BNP</w:t>
      </w:r>
    </w:p>
    <w:p w:rsidR="00D84D92" w:rsidRPr="00BB3D36" w:rsidRDefault="00D84D92" w:rsidP="00D84D92">
      <w:pPr>
        <w:pStyle w:val="Odstavecseseznamem"/>
        <w:numPr>
          <w:ilvl w:val="1"/>
          <w:numId w:val="1"/>
        </w:numPr>
        <w:spacing w:after="0" w:line="240" w:lineRule="auto"/>
      </w:pPr>
      <w:r w:rsidRPr="00401907">
        <w:t>CNP</w:t>
      </w:r>
    </w:p>
    <w:p w:rsidR="00D84D92" w:rsidRPr="00401907" w:rsidRDefault="00D84D92" w:rsidP="00D84D92">
      <w:pPr>
        <w:pStyle w:val="Odstavecseseznamem"/>
        <w:numPr>
          <w:ilvl w:val="1"/>
          <w:numId w:val="1"/>
        </w:numPr>
        <w:spacing w:after="0" w:line="240" w:lineRule="auto"/>
        <w:rPr>
          <w:b/>
        </w:rPr>
      </w:pPr>
      <w:r w:rsidRPr="00401907">
        <w:rPr>
          <w:b/>
        </w:rPr>
        <w:t>NT-</w:t>
      </w:r>
      <w:proofErr w:type="spellStart"/>
      <w:r w:rsidRPr="00401907">
        <w:rPr>
          <w:b/>
        </w:rPr>
        <w:t>proBNP</w:t>
      </w:r>
      <w:proofErr w:type="spellEnd"/>
    </w:p>
    <w:p w:rsidR="00D84D92" w:rsidRPr="00401907" w:rsidRDefault="00D84D92" w:rsidP="00D84D92">
      <w:pPr>
        <w:pStyle w:val="Odstavecseseznamem"/>
        <w:numPr>
          <w:ilvl w:val="0"/>
          <w:numId w:val="1"/>
        </w:numPr>
        <w:spacing w:after="0" w:line="240" w:lineRule="auto"/>
      </w:pPr>
      <w:r w:rsidRPr="00401907">
        <w:t>Přítomnost imunoglobulinů při elektrofor</w:t>
      </w:r>
      <w:r>
        <w:t>etickém vyšetření moče je jevem</w:t>
      </w:r>
    </w:p>
    <w:p w:rsidR="00D84D92" w:rsidRDefault="00CB0C83" w:rsidP="00D84D92">
      <w:pPr>
        <w:pStyle w:val="Odstavecseseznamem"/>
        <w:numPr>
          <w:ilvl w:val="1"/>
          <w:numId w:val="1"/>
        </w:numPr>
        <w:spacing w:after="0" w:line="240" w:lineRule="auto"/>
        <w:rPr>
          <w:b/>
        </w:rPr>
      </w:pPr>
      <w:r>
        <w:t>F</w:t>
      </w:r>
      <w:r w:rsidR="00D84D92" w:rsidRPr="00401907">
        <w:t>yziologickým</w:t>
      </w:r>
    </w:p>
    <w:p w:rsidR="00D84D92" w:rsidRPr="006851D2" w:rsidRDefault="00CB0C83" w:rsidP="00D84D92">
      <w:pPr>
        <w:pStyle w:val="Odstavecseseznamem"/>
        <w:numPr>
          <w:ilvl w:val="1"/>
          <w:numId w:val="1"/>
        </w:numPr>
        <w:spacing w:after="0" w:line="240" w:lineRule="auto"/>
        <w:rPr>
          <w:b/>
        </w:rPr>
      </w:pPr>
      <w:r>
        <w:rPr>
          <w:b/>
        </w:rPr>
        <w:t>V</w:t>
      </w:r>
      <w:r w:rsidR="00D84D92" w:rsidRPr="00401907">
        <w:rPr>
          <w:b/>
        </w:rPr>
        <w:t>ždy patologickým</w:t>
      </w:r>
    </w:p>
    <w:p w:rsidR="00D84D92" w:rsidRPr="00401907" w:rsidRDefault="00CB0C83" w:rsidP="00D84D92">
      <w:pPr>
        <w:pStyle w:val="Odstavecseseznamem"/>
        <w:numPr>
          <w:ilvl w:val="1"/>
          <w:numId w:val="1"/>
        </w:numPr>
        <w:spacing w:after="0" w:line="240" w:lineRule="auto"/>
      </w:pPr>
      <w:r>
        <w:t>Z</w:t>
      </w:r>
      <w:r w:rsidR="00D84D92" w:rsidRPr="00401907">
        <w:t>a jistých podmínek, např. u mladých jedinců, jevem fyziologickým</w:t>
      </w:r>
    </w:p>
    <w:p w:rsidR="00D84D92" w:rsidRDefault="00CB0C83" w:rsidP="00D84D92">
      <w:pPr>
        <w:pStyle w:val="Odstavecseseznamem"/>
        <w:numPr>
          <w:ilvl w:val="1"/>
          <w:numId w:val="1"/>
        </w:numPr>
        <w:spacing w:after="0" w:line="240" w:lineRule="auto"/>
      </w:pPr>
      <w:r>
        <w:t>U</w:t>
      </w:r>
      <w:r w:rsidR="00D84D92" w:rsidRPr="00401907">
        <w:t xml:space="preserve"> těhotných žen fyziologickým</w:t>
      </w:r>
    </w:p>
    <w:p w:rsidR="00D83A65" w:rsidRDefault="00D83A65" w:rsidP="00D83A65">
      <w:pPr>
        <w:pStyle w:val="Odstavecseseznamem"/>
        <w:numPr>
          <w:ilvl w:val="0"/>
          <w:numId w:val="1"/>
        </w:numPr>
        <w:spacing w:after="0" w:line="240" w:lineRule="auto"/>
      </w:pPr>
      <w:r w:rsidRPr="00D83A65">
        <w:t>Fyziologické rozmezí albuminu</w:t>
      </w:r>
    </w:p>
    <w:p w:rsidR="00A9264A" w:rsidRPr="00D83A65" w:rsidRDefault="007D77B6" w:rsidP="00D83A65">
      <w:pPr>
        <w:pStyle w:val="Odstavecseseznamem"/>
        <w:numPr>
          <w:ilvl w:val="1"/>
          <w:numId w:val="1"/>
        </w:numPr>
      </w:pPr>
      <w:r w:rsidRPr="00D83A65">
        <w:t>25-45 g/l</w:t>
      </w:r>
    </w:p>
    <w:p w:rsidR="00A9264A" w:rsidRPr="00CB0C83" w:rsidRDefault="007D77B6" w:rsidP="00D83A65">
      <w:pPr>
        <w:pStyle w:val="Odstavecseseznamem"/>
        <w:numPr>
          <w:ilvl w:val="1"/>
          <w:numId w:val="1"/>
        </w:numPr>
        <w:rPr>
          <w:b/>
        </w:rPr>
      </w:pPr>
      <w:r w:rsidRPr="00CB0C83">
        <w:rPr>
          <w:b/>
        </w:rPr>
        <w:t>35-53 g/l</w:t>
      </w:r>
    </w:p>
    <w:p w:rsidR="00A9264A" w:rsidRPr="00D83A65" w:rsidRDefault="007D77B6" w:rsidP="00D83A65">
      <w:pPr>
        <w:pStyle w:val="Odstavecseseznamem"/>
        <w:numPr>
          <w:ilvl w:val="1"/>
          <w:numId w:val="1"/>
        </w:numPr>
      </w:pPr>
      <w:r w:rsidRPr="00D83A65">
        <w:t>63-83 g/l</w:t>
      </w:r>
    </w:p>
    <w:p w:rsidR="00D83A65" w:rsidRDefault="00D83A65" w:rsidP="00D83A65">
      <w:pPr>
        <w:pStyle w:val="Odstavecseseznamem"/>
        <w:numPr>
          <w:ilvl w:val="1"/>
          <w:numId w:val="1"/>
        </w:numPr>
        <w:spacing w:after="0" w:line="240" w:lineRule="auto"/>
      </w:pPr>
      <w:r>
        <w:t>83-103 g/l</w:t>
      </w:r>
    </w:p>
    <w:p w:rsidR="00D83A65" w:rsidRDefault="007D77B6" w:rsidP="00D83A65">
      <w:pPr>
        <w:pStyle w:val="Odstavecseseznamem"/>
        <w:numPr>
          <w:ilvl w:val="0"/>
          <w:numId w:val="1"/>
        </w:numPr>
        <w:spacing w:after="0" w:line="240" w:lineRule="auto"/>
      </w:pPr>
      <w:r w:rsidRPr="007D77B6">
        <w:t>Fyziologické rozmezí celkové bílkoviny je přibližně</w:t>
      </w:r>
      <w:bookmarkStart w:id="0" w:name="_GoBack"/>
      <w:bookmarkEnd w:id="0"/>
    </w:p>
    <w:p w:rsidR="00A9264A" w:rsidRPr="007D77B6" w:rsidRDefault="007D77B6" w:rsidP="007D77B6">
      <w:pPr>
        <w:pStyle w:val="Odstavecseseznamem"/>
        <w:numPr>
          <w:ilvl w:val="1"/>
          <w:numId w:val="1"/>
        </w:numPr>
      </w:pPr>
      <w:r w:rsidRPr="007D77B6">
        <w:t>60-80 mg/l</w:t>
      </w:r>
    </w:p>
    <w:p w:rsidR="00A9264A" w:rsidRPr="007D77B6" w:rsidRDefault="007D77B6" w:rsidP="007D77B6">
      <w:pPr>
        <w:pStyle w:val="Odstavecseseznamem"/>
        <w:numPr>
          <w:ilvl w:val="1"/>
          <w:numId w:val="1"/>
        </w:numPr>
        <w:rPr>
          <w:b/>
        </w:rPr>
      </w:pPr>
      <w:r w:rsidRPr="007D77B6">
        <w:rPr>
          <w:b/>
        </w:rPr>
        <w:t>60-80 g/l</w:t>
      </w:r>
    </w:p>
    <w:p w:rsidR="00A9264A" w:rsidRPr="007D77B6" w:rsidRDefault="007D77B6" w:rsidP="007D77B6">
      <w:pPr>
        <w:pStyle w:val="Odstavecseseznamem"/>
        <w:numPr>
          <w:ilvl w:val="1"/>
          <w:numId w:val="1"/>
        </w:numPr>
      </w:pPr>
      <w:r w:rsidRPr="007D77B6">
        <w:t xml:space="preserve">60-80 </w:t>
      </w:r>
      <w:proofErr w:type="spellStart"/>
      <w:r w:rsidRPr="007D77B6">
        <w:t>mmol</w:t>
      </w:r>
      <w:proofErr w:type="spellEnd"/>
      <w:r w:rsidRPr="007D77B6">
        <w:t>/l</w:t>
      </w:r>
    </w:p>
    <w:p w:rsidR="00A9264A" w:rsidRPr="007D77B6" w:rsidRDefault="007D77B6" w:rsidP="007D77B6">
      <w:pPr>
        <w:pStyle w:val="Odstavecseseznamem"/>
        <w:numPr>
          <w:ilvl w:val="1"/>
          <w:numId w:val="1"/>
        </w:numPr>
      </w:pPr>
      <w:r w:rsidRPr="007D77B6">
        <w:t>60-80 mol/l</w:t>
      </w:r>
    </w:p>
    <w:p w:rsidR="007D77B6" w:rsidRPr="00401907" w:rsidRDefault="007D77B6" w:rsidP="00CB0C83">
      <w:pPr>
        <w:pStyle w:val="Odstavecseseznamem"/>
        <w:spacing w:after="0" w:line="240" w:lineRule="auto"/>
      </w:pPr>
    </w:p>
    <w:p w:rsidR="00E64569" w:rsidRDefault="00E75E93"/>
    <w:sectPr w:rsidR="00E6456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5E93" w:rsidRDefault="00E75E93" w:rsidP="00F93224">
      <w:pPr>
        <w:spacing w:after="0" w:line="240" w:lineRule="auto"/>
      </w:pPr>
      <w:r>
        <w:separator/>
      </w:r>
    </w:p>
  </w:endnote>
  <w:endnote w:type="continuationSeparator" w:id="0">
    <w:p w:rsidR="00E75E93" w:rsidRDefault="00E75E93" w:rsidP="00F93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3224" w:rsidRDefault="00F93224" w:rsidP="00F93224">
    <w:pPr>
      <w:pStyle w:val="Zpat"/>
      <w:jc w:val="center"/>
    </w:pPr>
    <w:r>
      <w:rPr>
        <w:noProof/>
        <w:lang w:eastAsia="cs-CZ"/>
      </w:rPr>
      <w:drawing>
        <wp:inline distT="0" distB="0" distL="0" distR="0" wp14:anchorId="33A6A20D" wp14:editId="1AA391CF">
          <wp:extent cx="4274820" cy="952500"/>
          <wp:effectExtent l="0" t="0" r="0" b="0"/>
          <wp:docPr id="5" name="Obrázek 5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482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93224" w:rsidRDefault="00F9322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5E93" w:rsidRDefault="00E75E93" w:rsidP="00F93224">
      <w:pPr>
        <w:spacing w:after="0" w:line="240" w:lineRule="auto"/>
      </w:pPr>
      <w:r>
        <w:separator/>
      </w:r>
    </w:p>
  </w:footnote>
  <w:footnote w:type="continuationSeparator" w:id="0">
    <w:p w:rsidR="00E75E93" w:rsidRDefault="00E75E93" w:rsidP="00F932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91A98"/>
    <w:multiLevelType w:val="hybridMultilevel"/>
    <w:tmpl w:val="10EEF15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03133"/>
    <w:multiLevelType w:val="hybridMultilevel"/>
    <w:tmpl w:val="7C16B606"/>
    <w:lvl w:ilvl="0" w:tplc="9540582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D8B67792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A9386884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2A3248AA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0DA85238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998E8408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A97C7EF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2BB05F0A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88C45C2C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F93490"/>
    <w:multiLevelType w:val="hybridMultilevel"/>
    <w:tmpl w:val="58621BC4"/>
    <w:lvl w:ilvl="0" w:tplc="975AE69A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51C4611E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330CD3E6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C212B86A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3CDA08FC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EFFC539C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F756342C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CAE8D8C4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998293FE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187"/>
    <w:rsid w:val="00536C95"/>
    <w:rsid w:val="006E7187"/>
    <w:rsid w:val="007D77B6"/>
    <w:rsid w:val="00967CF5"/>
    <w:rsid w:val="00A9264A"/>
    <w:rsid w:val="00BE12D1"/>
    <w:rsid w:val="00CB0C83"/>
    <w:rsid w:val="00D83A65"/>
    <w:rsid w:val="00D84D92"/>
    <w:rsid w:val="00E75E93"/>
    <w:rsid w:val="00F9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4988FF-B77A-4FBA-9B7F-026088E18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4D92"/>
    <w:pPr>
      <w:spacing w:after="200" w:line="276" w:lineRule="auto"/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93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3224"/>
  </w:style>
  <w:style w:type="paragraph" w:styleId="Zpat">
    <w:name w:val="footer"/>
    <w:basedOn w:val="Normln"/>
    <w:link w:val="ZpatChar"/>
    <w:uiPriority w:val="99"/>
    <w:unhideWhenUsed/>
    <w:rsid w:val="00F93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32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88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592">
          <w:marLeft w:val="92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21703">
          <w:marLeft w:val="92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21571">
          <w:marLeft w:val="92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0344">
          <w:marLeft w:val="92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670864">
          <w:marLeft w:val="92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6690">
          <w:marLeft w:val="92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5945">
          <w:marLeft w:val="92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Fakultní nemocnice Plzeň</Company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Broz Pavel</dc:creator>
  <cp:keywords/>
  <dc:description/>
  <cp:lastModifiedBy>martin.buk@tiscali.cz</cp:lastModifiedBy>
  <cp:revision>2</cp:revision>
  <dcterms:created xsi:type="dcterms:W3CDTF">2023-02-16T20:42:00Z</dcterms:created>
  <dcterms:modified xsi:type="dcterms:W3CDTF">2023-02-16T20:42:00Z</dcterms:modified>
</cp:coreProperties>
</file>