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CDD" w:rsidRDefault="00042CDD" w:rsidP="00042CDD">
      <w:pPr>
        <w:pStyle w:val="Odstavecseseznamem"/>
        <w:numPr>
          <w:ilvl w:val="0"/>
          <w:numId w:val="1"/>
        </w:numPr>
      </w:pPr>
      <w:r>
        <w:t>Moč na chemické vyšetření je třeba do laboratoře dopravit optimálně:</w:t>
      </w:r>
    </w:p>
    <w:p w:rsidR="00042CDD" w:rsidRPr="00470BF2" w:rsidRDefault="00042CDD" w:rsidP="00042CDD">
      <w:pPr>
        <w:pStyle w:val="Odstavecseseznamem"/>
        <w:numPr>
          <w:ilvl w:val="1"/>
          <w:numId w:val="1"/>
        </w:numPr>
        <w:rPr>
          <w:b/>
        </w:rPr>
      </w:pPr>
      <w:r w:rsidRPr="00470BF2">
        <w:rPr>
          <w:b/>
        </w:rPr>
        <w:t>Do hodiny, maximálně do 2 hodin</w:t>
      </w:r>
      <w:r>
        <w:rPr>
          <w:b/>
        </w:rPr>
        <w:t>.</w:t>
      </w:r>
    </w:p>
    <w:p w:rsidR="00042CDD" w:rsidRDefault="00042CDD" w:rsidP="00042CDD">
      <w:pPr>
        <w:pStyle w:val="Odstavecseseznamem"/>
        <w:numPr>
          <w:ilvl w:val="1"/>
          <w:numId w:val="1"/>
        </w:numPr>
      </w:pPr>
      <w:r>
        <w:t>Do 3 hodin.</w:t>
      </w:r>
    </w:p>
    <w:p w:rsidR="00042CDD" w:rsidRDefault="00042CDD" w:rsidP="00042CDD">
      <w:pPr>
        <w:pStyle w:val="Odstavecseseznamem"/>
        <w:numPr>
          <w:ilvl w:val="1"/>
          <w:numId w:val="1"/>
        </w:numPr>
      </w:pPr>
      <w:r>
        <w:t>Do 6 ti hodin, moč není tak nestálá z hlediska přítomnosti analytů jako krev.</w:t>
      </w:r>
    </w:p>
    <w:p w:rsidR="00042CDD" w:rsidRDefault="00042CDD" w:rsidP="00042CDD">
      <w:pPr>
        <w:pStyle w:val="Odstavecseseznamem"/>
        <w:numPr>
          <w:ilvl w:val="1"/>
          <w:numId w:val="1"/>
        </w:numPr>
      </w:pPr>
      <w:r>
        <w:t>U moče není třeba vůbec spěchat, když moč pacient zapomene, poradíme mu, aby tentýž vzorek donesl při příštím vyšetření.</w:t>
      </w:r>
    </w:p>
    <w:p w:rsidR="00042CDD" w:rsidRPr="00401907" w:rsidRDefault="00042CDD" w:rsidP="00042CDD">
      <w:pPr>
        <w:pStyle w:val="Odstavecseseznamem"/>
        <w:numPr>
          <w:ilvl w:val="0"/>
          <w:numId w:val="1"/>
        </w:numPr>
        <w:spacing w:after="0" w:line="240" w:lineRule="auto"/>
      </w:pPr>
      <w:r w:rsidRPr="00401907">
        <w:t>Při větším rozpadu svalové tkáně např. po velké svalové zátěži, při pohmoždění svalů dolních končetin bude v moči:</w:t>
      </w:r>
    </w:p>
    <w:p w:rsidR="00042CDD" w:rsidRPr="00401907" w:rsidRDefault="00042CDD" w:rsidP="00042CDD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r>
        <w:rPr>
          <w:b/>
        </w:rPr>
        <w:t>V</w:t>
      </w:r>
      <w:r w:rsidRPr="00401907">
        <w:rPr>
          <w:b/>
        </w:rPr>
        <w:t>ýrazně pozitivní hematurie (způsobeno myoglobinem)</w:t>
      </w:r>
      <w:r>
        <w:rPr>
          <w:b/>
        </w:rPr>
        <w:t>.</w:t>
      </w:r>
    </w:p>
    <w:p w:rsidR="00042CDD" w:rsidRPr="00401907" w:rsidRDefault="00042CDD" w:rsidP="00042CDD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r w:rsidRPr="00401907">
        <w:rPr>
          <w:b/>
        </w:rPr>
        <w:t>Nedošlo-li současně k pohmoždění vylučovacích cest, erytrocyty spíše nebudou v moči přítomny.</w:t>
      </w:r>
    </w:p>
    <w:p w:rsidR="00042CDD" w:rsidRPr="00401907" w:rsidRDefault="00042CDD" w:rsidP="00042CDD">
      <w:pPr>
        <w:pStyle w:val="Odstavecseseznamem"/>
        <w:numPr>
          <w:ilvl w:val="1"/>
          <w:numId w:val="1"/>
        </w:numPr>
        <w:spacing w:after="0" w:line="240" w:lineRule="auto"/>
      </w:pPr>
      <w:r w:rsidRPr="00401907">
        <w:t xml:space="preserve">Vždy bude výrazně pozitivní hematurie i </w:t>
      </w:r>
      <w:proofErr w:type="spellStart"/>
      <w:r w:rsidRPr="00401907">
        <w:t>erytrocyturie</w:t>
      </w:r>
      <w:proofErr w:type="spellEnd"/>
      <w:r w:rsidRPr="00401907">
        <w:t>.</w:t>
      </w:r>
    </w:p>
    <w:p w:rsidR="00042CDD" w:rsidRPr="00401907" w:rsidRDefault="00042CDD" w:rsidP="00042CDD">
      <w:pPr>
        <w:pStyle w:val="Odstavecseseznamem"/>
        <w:numPr>
          <w:ilvl w:val="1"/>
          <w:numId w:val="1"/>
        </w:numPr>
        <w:spacing w:after="0" w:line="240" w:lineRule="auto"/>
      </w:pPr>
      <w:r w:rsidRPr="00401907">
        <w:t>Hnědé zabarvení moče se může při výrazné svalové zátěži vyskytnout, jedná se o fyziologický jev, zejména není-li spojen s dehydratací.</w:t>
      </w:r>
    </w:p>
    <w:p w:rsidR="00042CDD" w:rsidRDefault="00042CDD" w:rsidP="00042CDD">
      <w:pPr>
        <w:pStyle w:val="Odstavecseseznamem"/>
        <w:numPr>
          <w:ilvl w:val="0"/>
          <w:numId w:val="1"/>
        </w:numPr>
      </w:pPr>
      <w:r>
        <w:t>Pro Bence-</w:t>
      </w:r>
      <w:proofErr w:type="spellStart"/>
      <w:r>
        <w:t>Jonesovu</w:t>
      </w:r>
      <w:proofErr w:type="spellEnd"/>
      <w:r>
        <w:t xml:space="preserve"> bílkovinu platí</w:t>
      </w:r>
    </w:p>
    <w:p w:rsidR="00042CDD" w:rsidRDefault="00042CDD" w:rsidP="00042CDD">
      <w:pPr>
        <w:pStyle w:val="Odstavecseseznamem"/>
        <w:numPr>
          <w:ilvl w:val="1"/>
          <w:numId w:val="1"/>
        </w:numPr>
      </w:pPr>
      <w:r>
        <w:t>Jedná se o bílkovinu, která se vysráží v tubulech při velkém rozpadu svalové tkáně</w:t>
      </w:r>
    </w:p>
    <w:p w:rsidR="00042CDD" w:rsidRDefault="00042CDD" w:rsidP="00042CDD">
      <w:pPr>
        <w:pStyle w:val="Odstavecseseznamem"/>
        <w:numPr>
          <w:ilvl w:val="1"/>
          <w:numId w:val="1"/>
        </w:numPr>
      </w:pPr>
      <w:r>
        <w:t>S proužky na stanovení bílkoviny reaguje jako albumin, je bez problému zachycena i při nižších koncentracích</w:t>
      </w:r>
    </w:p>
    <w:p w:rsidR="00042CDD" w:rsidRDefault="00042CDD" w:rsidP="00042CDD">
      <w:pPr>
        <w:pStyle w:val="Odstavecseseznamem"/>
        <w:numPr>
          <w:ilvl w:val="1"/>
          <w:numId w:val="1"/>
        </w:numPr>
      </w:pPr>
      <w:r>
        <w:t xml:space="preserve">Od jejího vyšetřování se ustupuje, protože pro </w:t>
      </w:r>
      <w:proofErr w:type="spellStart"/>
      <w:r>
        <w:t>screening</w:t>
      </w:r>
      <w:proofErr w:type="spellEnd"/>
      <w:r>
        <w:t xml:space="preserve"> pacientů s monoklonální </w:t>
      </w:r>
      <w:proofErr w:type="spellStart"/>
      <w:r>
        <w:t>gamapatií</w:t>
      </w:r>
      <w:proofErr w:type="spellEnd"/>
      <w:r>
        <w:t xml:space="preserve"> je dostačující elektroforéza bílkovin séra</w:t>
      </w:r>
    </w:p>
    <w:p w:rsidR="00042CDD" w:rsidRPr="00470BF2" w:rsidRDefault="00042CDD" w:rsidP="00042CDD">
      <w:pPr>
        <w:pStyle w:val="Odstavecseseznamem"/>
        <w:numPr>
          <w:ilvl w:val="1"/>
          <w:numId w:val="1"/>
        </w:numPr>
        <w:rPr>
          <w:b/>
        </w:rPr>
      </w:pPr>
      <w:r w:rsidRPr="00470BF2">
        <w:rPr>
          <w:b/>
        </w:rPr>
        <w:t>S proužky na st</w:t>
      </w:r>
      <w:r>
        <w:rPr>
          <w:b/>
        </w:rPr>
        <w:t xml:space="preserve">anovení bílkoviny nereaguje </w:t>
      </w:r>
      <w:r w:rsidRPr="00470BF2">
        <w:rPr>
          <w:b/>
        </w:rPr>
        <w:t>jako např. al</w:t>
      </w:r>
      <w:r>
        <w:rPr>
          <w:b/>
        </w:rPr>
        <w:t>bumin, proto může být negativní</w:t>
      </w:r>
      <w:r w:rsidRPr="00470BF2">
        <w:rPr>
          <w:b/>
        </w:rPr>
        <w:t xml:space="preserve"> i při gramových koncentracích</w:t>
      </w:r>
    </w:p>
    <w:p w:rsidR="00042CDD" w:rsidRDefault="00042CDD" w:rsidP="00042CDD">
      <w:pPr>
        <w:pStyle w:val="Odstavecseseznamem"/>
        <w:numPr>
          <w:ilvl w:val="0"/>
          <w:numId w:val="1"/>
        </w:numPr>
      </w:pPr>
      <w:r>
        <w:t>Pro glykosurii platí:</w:t>
      </w:r>
    </w:p>
    <w:p w:rsidR="00042CDD" w:rsidRPr="00F84E3A" w:rsidRDefault="00042CDD" w:rsidP="00042CDD">
      <w:pPr>
        <w:pStyle w:val="Odstavecseseznamem"/>
        <w:numPr>
          <w:ilvl w:val="1"/>
          <w:numId w:val="1"/>
        </w:numPr>
        <w:rPr>
          <w:b/>
        </w:rPr>
      </w:pPr>
      <w:r w:rsidRPr="00F84E3A">
        <w:rPr>
          <w:b/>
        </w:rPr>
        <w:t>Dochází k ní při překročení renálního prahu pro glukózu, který však může být velmi i</w:t>
      </w:r>
      <w:r>
        <w:rPr>
          <w:b/>
        </w:rPr>
        <w:t>n</w:t>
      </w:r>
      <w:r w:rsidRPr="00F84E3A">
        <w:rPr>
          <w:b/>
        </w:rPr>
        <w:t>dividuální</w:t>
      </w:r>
      <w:r>
        <w:rPr>
          <w:b/>
        </w:rPr>
        <w:t>.</w:t>
      </w:r>
    </w:p>
    <w:p w:rsidR="00042CDD" w:rsidRDefault="00042CDD" w:rsidP="00042CDD">
      <w:pPr>
        <w:pStyle w:val="Odstavecseseznamem"/>
        <w:numPr>
          <w:ilvl w:val="1"/>
          <w:numId w:val="1"/>
        </w:numPr>
      </w:pPr>
      <w:r>
        <w:t>Dochází k ní při zvýšené glomerulární filtraci, např. při dehydrataci.</w:t>
      </w:r>
    </w:p>
    <w:p w:rsidR="00042CDD" w:rsidRDefault="00042CDD" w:rsidP="00042CDD">
      <w:pPr>
        <w:pStyle w:val="Odstavecseseznamem"/>
        <w:numPr>
          <w:ilvl w:val="1"/>
          <w:numId w:val="1"/>
        </w:numPr>
        <w:rPr>
          <w:b/>
        </w:rPr>
      </w:pPr>
      <w:r w:rsidRPr="00EB6DD1">
        <w:rPr>
          <w:b/>
        </w:rPr>
        <w:t xml:space="preserve">Pacienta je třeba vždy vyšetřit a </w:t>
      </w:r>
      <w:r>
        <w:rPr>
          <w:b/>
        </w:rPr>
        <w:t xml:space="preserve">nadále </w:t>
      </w:r>
      <w:r w:rsidRPr="00EB6DD1">
        <w:rPr>
          <w:b/>
        </w:rPr>
        <w:t>sledovat</w:t>
      </w:r>
      <w:r>
        <w:rPr>
          <w:b/>
        </w:rPr>
        <w:t>.</w:t>
      </w:r>
    </w:p>
    <w:p w:rsidR="00042CDD" w:rsidRDefault="00042CDD" w:rsidP="00042CDD">
      <w:pPr>
        <w:pStyle w:val="Odstavecseseznamem"/>
        <w:numPr>
          <w:ilvl w:val="1"/>
          <w:numId w:val="1"/>
        </w:numPr>
      </w:pPr>
      <w:r w:rsidRPr="0077658C">
        <w:t>Využívá se v diagnostice diabetu</w:t>
      </w:r>
      <w:r>
        <w:t xml:space="preserve"> </w:t>
      </w:r>
      <w:proofErr w:type="spellStart"/>
      <w:r>
        <w:t>mellitu</w:t>
      </w:r>
      <w:proofErr w:type="spellEnd"/>
      <w:r>
        <w:t>.</w:t>
      </w:r>
    </w:p>
    <w:p w:rsidR="00042CDD" w:rsidRPr="00834A4D" w:rsidRDefault="00042CDD" w:rsidP="00042CDD">
      <w:pPr>
        <w:pStyle w:val="Odstavecseseznamem"/>
        <w:numPr>
          <w:ilvl w:val="0"/>
          <w:numId w:val="1"/>
        </w:numPr>
      </w:pPr>
      <w:r w:rsidRPr="00834A4D">
        <w:t>Fyziologicky projde glomerulem:</w:t>
      </w:r>
    </w:p>
    <w:p w:rsidR="00042CDD" w:rsidRPr="00511935" w:rsidRDefault="00016755" w:rsidP="00042CDD">
      <w:pPr>
        <w:pStyle w:val="Odstavecseseznamem"/>
        <w:numPr>
          <w:ilvl w:val="1"/>
          <w:numId w:val="1"/>
        </w:numPr>
        <w:rPr>
          <w:b/>
        </w:rPr>
      </w:pPr>
      <w:r>
        <w:rPr>
          <w:b/>
        </w:rPr>
        <w:t>M</w:t>
      </w:r>
      <w:r w:rsidR="00042CDD" w:rsidRPr="00511935">
        <w:rPr>
          <w:b/>
        </w:rPr>
        <w:t xml:space="preserve">alé množství albuminu </w:t>
      </w:r>
    </w:p>
    <w:p w:rsidR="00042CDD" w:rsidRPr="00511935" w:rsidRDefault="00042CDD" w:rsidP="00042CDD">
      <w:pPr>
        <w:pStyle w:val="Odstavecseseznamem"/>
        <w:numPr>
          <w:ilvl w:val="1"/>
          <w:numId w:val="1"/>
        </w:numPr>
        <w:rPr>
          <w:b/>
        </w:rPr>
      </w:pPr>
      <w:proofErr w:type="spellStart"/>
      <w:r w:rsidRPr="00511935">
        <w:rPr>
          <w:b/>
        </w:rPr>
        <w:t>Mikroproteiny</w:t>
      </w:r>
      <w:proofErr w:type="spellEnd"/>
      <w:r w:rsidRPr="00511935">
        <w:rPr>
          <w:b/>
        </w:rPr>
        <w:t>, které jsou zpětně vychytány tubulárními buňkami.</w:t>
      </w:r>
    </w:p>
    <w:p w:rsidR="00042CDD" w:rsidRPr="00834A4D" w:rsidRDefault="00042CDD" w:rsidP="00042CDD">
      <w:pPr>
        <w:pStyle w:val="Odstavecseseznamem"/>
        <w:numPr>
          <w:ilvl w:val="1"/>
          <w:numId w:val="1"/>
        </w:numPr>
      </w:pPr>
      <w:r w:rsidRPr="00834A4D">
        <w:t xml:space="preserve">Bílkoviny o větší </w:t>
      </w:r>
      <w:proofErr w:type="spellStart"/>
      <w:r w:rsidRPr="00834A4D">
        <w:t>Mr</w:t>
      </w:r>
      <w:proofErr w:type="spellEnd"/>
      <w:r w:rsidRPr="00834A4D">
        <w:t xml:space="preserve"> než albumin, tubulárními buňkami jsou pak vychytány a degradovány.</w:t>
      </w:r>
    </w:p>
    <w:p w:rsidR="00042CDD" w:rsidRDefault="00042CDD" w:rsidP="00042CDD">
      <w:pPr>
        <w:pStyle w:val="Odstavecseseznamem"/>
        <w:numPr>
          <w:ilvl w:val="1"/>
          <w:numId w:val="1"/>
        </w:numPr>
      </w:pPr>
      <w:r w:rsidRPr="00834A4D">
        <w:t>Zdravý glomerulus nepropustí žádné bílkoviny.</w:t>
      </w:r>
    </w:p>
    <w:p w:rsidR="0011402B" w:rsidRDefault="0011402B" w:rsidP="0011402B">
      <w:pPr>
        <w:pStyle w:val="Odstavecseseznamem"/>
        <w:numPr>
          <w:ilvl w:val="0"/>
          <w:numId w:val="1"/>
        </w:numPr>
      </w:pPr>
      <w:r w:rsidRPr="0011402B">
        <w:t>Hematurie</w:t>
      </w:r>
    </w:p>
    <w:p w:rsidR="00C0058E" w:rsidRPr="0011402B" w:rsidRDefault="00B34EB1" w:rsidP="0011402B">
      <w:pPr>
        <w:pStyle w:val="Odstavecseseznamem"/>
        <w:numPr>
          <w:ilvl w:val="1"/>
          <w:numId w:val="1"/>
        </w:numPr>
        <w:rPr>
          <w:b/>
        </w:rPr>
      </w:pPr>
      <w:r w:rsidRPr="0011402B">
        <w:rPr>
          <w:b/>
        </w:rPr>
        <w:t>Je přítomnost krve v moči a je založena na průkazu hemu</w:t>
      </w:r>
    </w:p>
    <w:p w:rsidR="00C0058E" w:rsidRPr="0011402B" w:rsidRDefault="00B34EB1" w:rsidP="0011402B">
      <w:pPr>
        <w:pStyle w:val="Odstavecseseznamem"/>
        <w:numPr>
          <w:ilvl w:val="1"/>
          <w:numId w:val="1"/>
        </w:numPr>
      </w:pPr>
      <w:r w:rsidRPr="0011402B">
        <w:t>Je založena na přítomnosti erytrocytů v močovém sedimentu</w:t>
      </w:r>
    </w:p>
    <w:p w:rsidR="00C0058E" w:rsidRDefault="00B34EB1" w:rsidP="0011402B">
      <w:pPr>
        <w:pStyle w:val="Odstavecseseznamem"/>
        <w:numPr>
          <w:ilvl w:val="1"/>
          <w:numId w:val="1"/>
        </w:numPr>
      </w:pPr>
      <w:r w:rsidRPr="0011402B">
        <w:t>Pozitivita jakékoli z předchozích metod se nazývá hematurie</w:t>
      </w:r>
    </w:p>
    <w:p w:rsidR="0011402B" w:rsidRDefault="0011402B" w:rsidP="0011402B">
      <w:pPr>
        <w:pStyle w:val="Odstavecseseznamem"/>
        <w:numPr>
          <w:ilvl w:val="0"/>
          <w:numId w:val="1"/>
        </w:numPr>
      </w:pPr>
      <w:r w:rsidRPr="0011402B">
        <w:t>Vyberte správnou odpověď</w:t>
      </w:r>
    </w:p>
    <w:p w:rsidR="00C0058E" w:rsidRPr="0011402B" w:rsidRDefault="00B34EB1" w:rsidP="0011402B">
      <w:pPr>
        <w:pStyle w:val="Odstavecseseznamem"/>
        <w:numPr>
          <w:ilvl w:val="1"/>
          <w:numId w:val="1"/>
        </w:numPr>
      </w:pPr>
      <w:r w:rsidRPr="0011402B">
        <w:t>Je-li pozitivní hematurie, musí být vždy přítomno odpovídající množství erytrocytů</w:t>
      </w:r>
    </w:p>
    <w:p w:rsidR="00C0058E" w:rsidRPr="0011402B" w:rsidRDefault="00B34EB1" w:rsidP="0011402B">
      <w:pPr>
        <w:pStyle w:val="Odstavecseseznamem"/>
        <w:numPr>
          <w:ilvl w:val="1"/>
          <w:numId w:val="1"/>
        </w:numPr>
        <w:rPr>
          <w:b/>
        </w:rPr>
      </w:pPr>
      <w:r w:rsidRPr="0011402B">
        <w:rPr>
          <w:b/>
        </w:rPr>
        <w:t>Jsou-li přítomny erytrocyty v močovém sedimentu, bude vždy pozitivní průkaz na hematurii</w:t>
      </w:r>
    </w:p>
    <w:p w:rsidR="00C0058E" w:rsidRPr="0011402B" w:rsidRDefault="00B34EB1" w:rsidP="0011402B">
      <w:pPr>
        <w:pStyle w:val="Odstavecseseznamem"/>
        <w:numPr>
          <w:ilvl w:val="1"/>
          <w:numId w:val="1"/>
        </w:numPr>
      </w:pPr>
      <w:r w:rsidRPr="0011402B">
        <w:t>A i B je správně</w:t>
      </w:r>
    </w:p>
    <w:p w:rsidR="00C0058E" w:rsidRDefault="00B34EB1" w:rsidP="0011402B">
      <w:pPr>
        <w:pStyle w:val="Odstavecseseznamem"/>
        <w:numPr>
          <w:ilvl w:val="1"/>
          <w:numId w:val="1"/>
        </w:numPr>
      </w:pPr>
      <w:r w:rsidRPr="0011402B">
        <w:lastRenderedPageBreak/>
        <w:t>Není správně ani jedna odpověď</w:t>
      </w:r>
    </w:p>
    <w:p w:rsidR="0011402B" w:rsidRDefault="0011402B" w:rsidP="0011402B">
      <w:pPr>
        <w:pStyle w:val="Odstavecseseznamem"/>
        <w:numPr>
          <w:ilvl w:val="0"/>
          <w:numId w:val="1"/>
        </w:numPr>
      </w:pPr>
      <w:r w:rsidRPr="0011402B">
        <w:t>Pro vyšetření na průkaz ketolátek neplatí</w:t>
      </w:r>
    </w:p>
    <w:p w:rsidR="00C0058E" w:rsidRPr="0011402B" w:rsidRDefault="00B34EB1" w:rsidP="0011402B">
      <w:pPr>
        <w:pStyle w:val="Odstavecseseznamem"/>
        <w:numPr>
          <w:ilvl w:val="1"/>
          <w:numId w:val="1"/>
        </w:numPr>
        <w:rPr>
          <w:b/>
        </w:rPr>
      </w:pPr>
      <w:r w:rsidRPr="0011402B">
        <w:rPr>
          <w:b/>
        </w:rPr>
        <w:t xml:space="preserve">Je vždy pozitivní, je-li v moči přítomen </w:t>
      </w:r>
      <w:proofErr w:type="spellStart"/>
      <w:r w:rsidRPr="0011402B">
        <w:rPr>
          <w:b/>
        </w:rPr>
        <w:t>acetoacetát</w:t>
      </w:r>
      <w:proofErr w:type="spellEnd"/>
      <w:r w:rsidRPr="0011402B">
        <w:rPr>
          <w:b/>
        </w:rPr>
        <w:t>, aceton, či beta-</w:t>
      </w:r>
      <w:proofErr w:type="spellStart"/>
      <w:r w:rsidRPr="0011402B">
        <w:rPr>
          <w:b/>
        </w:rPr>
        <w:t>hydroxybutyrát</w:t>
      </w:r>
      <w:proofErr w:type="spellEnd"/>
    </w:p>
    <w:p w:rsidR="00C0058E" w:rsidRPr="0011402B" w:rsidRDefault="00B34EB1" w:rsidP="0011402B">
      <w:pPr>
        <w:pStyle w:val="Odstavecseseznamem"/>
        <w:numPr>
          <w:ilvl w:val="1"/>
          <w:numId w:val="1"/>
        </w:numPr>
      </w:pPr>
      <w:r w:rsidRPr="0011402B">
        <w:t xml:space="preserve">Činidlem </w:t>
      </w:r>
      <w:proofErr w:type="spellStart"/>
      <w:r w:rsidRPr="0011402B">
        <w:t>reagujcícím</w:t>
      </w:r>
      <w:proofErr w:type="spellEnd"/>
      <w:r w:rsidRPr="0011402B">
        <w:t xml:space="preserve"> s </w:t>
      </w:r>
      <w:proofErr w:type="spellStart"/>
      <w:r w:rsidRPr="0011402B">
        <w:t>ketoskupinou</w:t>
      </w:r>
      <w:proofErr w:type="spellEnd"/>
      <w:r w:rsidRPr="0011402B">
        <w:t xml:space="preserve"> je </w:t>
      </w:r>
      <w:proofErr w:type="spellStart"/>
      <w:r w:rsidRPr="0011402B">
        <w:t>nitroprusid</w:t>
      </w:r>
      <w:proofErr w:type="spellEnd"/>
      <w:r w:rsidRPr="0011402B">
        <w:t xml:space="preserve"> sodný</w:t>
      </w:r>
    </w:p>
    <w:p w:rsidR="00C0058E" w:rsidRDefault="00B34EB1" w:rsidP="0011402B">
      <w:pPr>
        <w:pStyle w:val="Odstavecseseznamem"/>
        <w:numPr>
          <w:ilvl w:val="1"/>
          <w:numId w:val="1"/>
        </w:numPr>
      </w:pPr>
      <w:r w:rsidRPr="0011402B">
        <w:t>U pacienta s tkáňovou hypoxií může být falešně negativní</w:t>
      </w:r>
    </w:p>
    <w:p w:rsidR="00B34EB1" w:rsidRDefault="00B34EB1" w:rsidP="00B34EB1">
      <w:pPr>
        <w:pStyle w:val="Odstavecseseznamem"/>
        <w:numPr>
          <w:ilvl w:val="0"/>
          <w:numId w:val="1"/>
        </w:numPr>
      </w:pPr>
      <w:r w:rsidRPr="00B34EB1">
        <w:t>Pro glomerulární</w:t>
      </w:r>
      <w:r>
        <w:t xml:space="preserve"> selektivní proteinurii neplatí</w:t>
      </w:r>
    </w:p>
    <w:p w:rsidR="00C0058E" w:rsidRPr="00B34EB1" w:rsidRDefault="00B34EB1" w:rsidP="00B34EB1">
      <w:pPr>
        <w:pStyle w:val="Odstavecseseznamem"/>
        <w:numPr>
          <w:ilvl w:val="1"/>
          <w:numId w:val="1"/>
        </w:numPr>
        <w:rPr>
          <w:b/>
        </w:rPr>
      </w:pPr>
      <w:r w:rsidRPr="00B34EB1">
        <w:rPr>
          <w:b/>
        </w:rPr>
        <w:t>V moči jsou přítomny všechny bílkoviny s vysokou molekulovou hmotností</w:t>
      </w:r>
    </w:p>
    <w:p w:rsidR="00C0058E" w:rsidRPr="00B34EB1" w:rsidRDefault="00B34EB1" w:rsidP="00B34EB1">
      <w:pPr>
        <w:pStyle w:val="Odstavecseseznamem"/>
        <w:numPr>
          <w:ilvl w:val="1"/>
          <w:numId w:val="1"/>
        </w:numPr>
      </w:pPr>
      <w:r w:rsidRPr="00B34EB1">
        <w:t>V moči je přítomen albumin</w:t>
      </w:r>
    </w:p>
    <w:p w:rsidR="00C0058E" w:rsidRPr="00B34EB1" w:rsidRDefault="00B34EB1" w:rsidP="00B34EB1">
      <w:pPr>
        <w:pStyle w:val="Odstavecseseznamem"/>
        <w:numPr>
          <w:ilvl w:val="1"/>
          <w:numId w:val="1"/>
        </w:numPr>
      </w:pPr>
      <w:r w:rsidRPr="00B34EB1">
        <w:t>V moči může být přítomen transferin</w:t>
      </w:r>
    </w:p>
    <w:p w:rsidR="00C0058E" w:rsidRPr="00B34EB1" w:rsidRDefault="00B34EB1" w:rsidP="00B34EB1">
      <w:pPr>
        <w:pStyle w:val="Odstavecseseznamem"/>
        <w:numPr>
          <w:ilvl w:val="1"/>
          <w:numId w:val="1"/>
        </w:numPr>
        <w:rPr>
          <w:b/>
        </w:rPr>
      </w:pPr>
      <w:r w:rsidRPr="00B34EB1">
        <w:rPr>
          <w:b/>
        </w:rPr>
        <w:t xml:space="preserve">Jedná se o „fyziologickou“ proteinurii u hubených mladých jedinců </w:t>
      </w:r>
    </w:p>
    <w:p w:rsidR="00B34EB1" w:rsidRDefault="00B34EB1" w:rsidP="00B34EB1">
      <w:pPr>
        <w:pStyle w:val="Odstavecseseznamem"/>
        <w:numPr>
          <w:ilvl w:val="0"/>
          <w:numId w:val="1"/>
        </w:numPr>
      </w:pPr>
      <w:r w:rsidRPr="00B34EB1">
        <w:t xml:space="preserve">Pro </w:t>
      </w:r>
      <w:proofErr w:type="spellStart"/>
      <w:r w:rsidRPr="00B34EB1">
        <w:t>mikroalbuminurii</w:t>
      </w:r>
      <w:proofErr w:type="spellEnd"/>
      <w:r w:rsidRPr="00B34EB1">
        <w:t xml:space="preserve"> platí</w:t>
      </w:r>
    </w:p>
    <w:p w:rsidR="00C0058E" w:rsidRPr="00B34EB1" w:rsidRDefault="00B34EB1" w:rsidP="00B34EB1">
      <w:pPr>
        <w:pStyle w:val="Odstavecseseznamem"/>
        <w:numPr>
          <w:ilvl w:val="1"/>
          <w:numId w:val="1"/>
        </w:numPr>
        <w:rPr>
          <w:b/>
        </w:rPr>
      </w:pPr>
      <w:r w:rsidRPr="00B34EB1">
        <w:rPr>
          <w:b/>
        </w:rPr>
        <w:t>Jedná se o malé množství albuminu v moči</w:t>
      </w:r>
    </w:p>
    <w:p w:rsidR="00C0058E" w:rsidRPr="00B34EB1" w:rsidRDefault="00B34EB1" w:rsidP="00B34EB1">
      <w:pPr>
        <w:pStyle w:val="Odstavecseseznamem"/>
        <w:numPr>
          <w:ilvl w:val="1"/>
          <w:numId w:val="1"/>
        </w:numPr>
      </w:pPr>
      <w:r w:rsidRPr="00B34EB1">
        <w:t xml:space="preserve">Jedná se o koncentraci </w:t>
      </w:r>
      <w:proofErr w:type="spellStart"/>
      <w:r w:rsidRPr="00B34EB1">
        <w:t>mikroproteinů</w:t>
      </w:r>
      <w:proofErr w:type="spellEnd"/>
      <w:r w:rsidRPr="00B34EB1">
        <w:t xml:space="preserve"> menších než albumin v moči</w:t>
      </w:r>
    </w:p>
    <w:p w:rsidR="00C0058E" w:rsidRPr="00B34EB1" w:rsidRDefault="00B34EB1" w:rsidP="00B34EB1">
      <w:pPr>
        <w:pStyle w:val="Odstavecseseznamem"/>
        <w:numPr>
          <w:ilvl w:val="1"/>
          <w:numId w:val="1"/>
        </w:numPr>
      </w:pPr>
      <w:r w:rsidRPr="00B34EB1">
        <w:t>U pacientů s diabetem nemá její sledování význam</w:t>
      </w:r>
    </w:p>
    <w:p w:rsidR="00C0058E" w:rsidRPr="00B34EB1" w:rsidRDefault="00B34EB1" w:rsidP="00B34EB1">
      <w:pPr>
        <w:pStyle w:val="Odstavecseseznamem"/>
        <w:numPr>
          <w:ilvl w:val="1"/>
          <w:numId w:val="1"/>
        </w:numPr>
        <w:rPr>
          <w:b/>
        </w:rPr>
      </w:pPr>
      <w:r w:rsidRPr="00B34EB1">
        <w:rPr>
          <w:b/>
        </w:rPr>
        <w:t>U pacientů s diabetem má její sledování význam</w:t>
      </w:r>
    </w:p>
    <w:p w:rsidR="00B34EB1" w:rsidRPr="00B34EB1" w:rsidRDefault="00B34EB1" w:rsidP="00B34EB1">
      <w:pPr>
        <w:pStyle w:val="Odstavecseseznamem"/>
        <w:rPr>
          <w:b/>
        </w:rPr>
      </w:pPr>
    </w:p>
    <w:p w:rsidR="00B34EB1" w:rsidRPr="0011402B" w:rsidRDefault="00B34EB1" w:rsidP="00B34EB1">
      <w:pPr>
        <w:pStyle w:val="Odstavecseseznamem"/>
        <w:ind w:left="1440"/>
      </w:pPr>
    </w:p>
    <w:p w:rsidR="0011402B" w:rsidRPr="0011402B" w:rsidRDefault="0011402B" w:rsidP="0011402B">
      <w:pPr>
        <w:pStyle w:val="Odstavecseseznamem"/>
        <w:ind w:left="1440"/>
      </w:pPr>
    </w:p>
    <w:p w:rsidR="0011402B" w:rsidRPr="0011402B" w:rsidRDefault="0011402B" w:rsidP="0011402B">
      <w:pPr>
        <w:pStyle w:val="Odstavecseseznamem"/>
        <w:ind w:left="1440"/>
      </w:pPr>
    </w:p>
    <w:p w:rsidR="0011402B" w:rsidRPr="00834A4D" w:rsidRDefault="0011402B" w:rsidP="0011402B">
      <w:pPr>
        <w:pStyle w:val="Odstavecseseznamem"/>
        <w:ind w:left="1440"/>
      </w:pPr>
    </w:p>
    <w:p w:rsidR="00E64569" w:rsidRDefault="00B05A6E">
      <w:bookmarkStart w:id="0" w:name="_GoBack"/>
      <w:bookmarkEnd w:id="0"/>
    </w:p>
    <w:sectPr w:rsidR="00E6456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A6E" w:rsidRDefault="00B05A6E" w:rsidP="002219D2">
      <w:pPr>
        <w:spacing w:after="0" w:line="240" w:lineRule="auto"/>
      </w:pPr>
      <w:r>
        <w:separator/>
      </w:r>
    </w:p>
  </w:endnote>
  <w:endnote w:type="continuationSeparator" w:id="0">
    <w:p w:rsidR="00B05A6E" w:rsidRDefault="00B05A6E" w:rsidP="00221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9D2" w:rsidRDefault="002219D2" w:rsidP="002219D2">
    <w:pPr>
      <w:pStyle w:val="Zpat"/>
      <w:jc w:val="center"/>
    </w:pPr>
    <w:r>
      <w:rPr>
        <w:noProof/>
        <w:lang w:eastAsia="cs-CZ"/>
      </w:rPr>
      <w:drawing>
        <wp:inline distT="0" distB="0" distL="0" distR="0" wp14:anchorId="33A6A20D" wp14:editId="1AA391CF">
          <wp:extent cx="4274820" cy="952500"/>
          <wp:effectExtent l="0" t="0" r="0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48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219D2" w:rsidRDefault="002219D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A6E" w:rsidRDefault="00B05A6E" w:rsidP="002219D2">
      <w:pPr>
        <w:spacing w:after="0" w:line="240" w:lineRule="auto"/>
      </w:pPr>
      <w:r>
        <w:separator/>
      </w:r>
    </w:p>
  </w:footnote>
  <w:footnote w:type="continuationSeparator" w:id="0">
    <w:p w:rsidR="00B05A6E" w:rsidRDefault="00B05A6E" w:rsidP="00221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E4C22"/>
    <w:multiLevelType w:val="hybridMultilevel"/>
    <w:tmpl w:val="E2660556"/>
    <w:lvl w:ilvl="0" w:tplc="2354A7F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E8861C4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E5C62F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7ADE0AE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BB00737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0CA0A59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90963D2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09A457C4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7B7835E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191A98"/>
    <w:multiLevelType w:val="hybridMultilevel"/>
    <w:tmpl w:val="10EEF15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E3122"/>
    <w:multiLevelType w:val="hybridMultilevel"/>
    <w:tmpl w:val="639A8428"/>
    <w:lvl w:ilvl="0" w:tplc="6EEE2B7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B972D840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4AEFE5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2E0865F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5AF8384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02B4009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045214C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9718D7A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CF0EE1A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DB3D42"/>
    <w:multiLevelType w:val="hybridMultilevel"/>
    <w:tmpl w:val="BF941540"/>
    <w:lvl w:ilvl="0" w:tplc="BC52316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466DC9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04A76B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19F2C1F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4BB8574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55C8577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0BE0030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C6460884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24E82ED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274B38"/>
    <w:multiLevelType w:val="hybridMultilevel"/>
    <w:tmpl w:val="CE02CE70"/>
    <w:lvl w:ilvl="0" w:tplc="2306141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60A6348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4FC1860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86E21FA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5DB2F8AA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596286D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D23A719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EE8A50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2584AB76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16344C"/>
    <w:multiLevelType w:val="hybridMultilevel"/>
    <w:tmpl w:val="24A8AB94"/>
    <w:lvl w:ilvl="0" w:tplc="BB6A797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A46C902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948D240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89CC018A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5F32837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AB80D5DC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11D2180E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4B124CA0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179ACFA6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E01"/>
    <w:rsid w:val="00016755"/>
    <w:rsid w:val="00042CDD"/>
    <w:rsid w:val="0011402B"/>
    <w:rsid w:val="002219D2"/>
    <w:rsid w:val="004D2A1F"/>
    <w:rsid w:val="00536C95"/>
    <w:rsid w:val="00567E01"/>
    <w:rsid w:val="00967CF5"/>
    <w:rsid w:val="00B05A6E"/>
    <w:rsid w:val="00B34EB1"/>
    <w:rsid w:val="00C0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64CB9-076F-448B-9FA1-08E5978E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42CDD"/>
    <w:pPr>
      <w:spacing w:after="200" w:line="276" w:lineRule="auto"/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21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19D2"/>
  </w:style>
  <w:style w:type="paragraph" w:styleId="Zpat">
    <w:name w:val="footer"/>
    <w:basedOn w:val="Normln"/>
    <w:link w:val="ZpatChar"/>
    <w:uiPriority w:val="99"/>
    <w:unhideWhenUsed/>
    <w:rsid w:val="00221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1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6761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682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3043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2413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7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1643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091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86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94976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780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244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913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4912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4373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4897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4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386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121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236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783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nemocnice Plzeň</Company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Broz Pavel</dc:creator>
  <cp:keywords/>
  <dc:description/>
  <cp:lastModifiedBy>martin.buk@tiscali.cz</cp:lastModifiedBy>
  <cp:revision>2</cp:revision>
  <dcterms:created xsi:type="dcterms:W3CDTF">2023-02-16T20:45:00Z</dcterms:created>
  <dcterms:modified xsi:type="dcterms:W3CDTF">2023-02-16T20:45:00Z</dcterms:modified>
</cp:coreProperties>
</file>