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89E96" w14:textId="77777777" w:rsidR="0040073D" w:rsidRDefault="00000000">
      <w:pPr>
        <w:spacing w:after="160"/>
        <w:jc w:val="center"/>
      </w:pPr>
      <w:r>
        <w:rPr>
          <w:noProof/>
        </w:rPr>
        <w:drawing>
          <wp:inline distT="0" distB="0" distL="0" distR="0" wp14:anchorId="482C82C6" wp14:editId="6EA1C217">
            <wp:extent cx="5166360" cy="18793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Peace + EU.jpg"/>
                    <pic:cNvPicPr/>
                  </pic:nvPicPr>
                  <pic:blipFill>
                    <a:blip r:embed="rId8"/>
                    <a:stretch>
                      <a:fillRect/>
                    </a:stretch>
                  </pic:blipFill>
                  <pic:spPr>
                    <a:xfrm>
                      <a:off x="0" y="0"/>
                      <a:ext cx="5166360" cy="1879364"/>
                    </a:xfrm>
                    <a:prstGeom prst="rect">
                      <a:avLst/>
                    </a:prstGeom>
                  </pic:spPr>
                </pic:pic>
              </a:graphicData>
            </a:graphic>
          </wp:inline>
        </w:drawing>
      </w:r>
    </w:p>
    <w:p w14:paraId="0DB8BB15" w14:textId="77777777" w:rsidR="0040073D" w:rsidRDefault="00000000">
      <w:pPr>
        <w:spacing w:after="80"/>
        <w:jc w:val="center"/>
      </w:pPr>
      <w:r>
        <w:rPr>
          <w:b/>
          <w:color w:val="0B4F9C"/>
          <w:sz w:val="48"/>
        </w:rPr>
        <w:t>LIFELONG EMPLOYABILITY AND CAREER ADAPTABILITY</w:t>
      </w:r>
    </w:p>
    <w:p w14:paraId="02EDDF43" w14:textId="77777777" w:rsidR="0040073D" w:rsidRDefault="00000000">
      <w:pPr>
        <w:spacing w:after="80"/>
        <w:jc w:val="center"/>
      </w:pPr>
      <w:r>
        <w:rPr>
          <w:b/>
          <w:sz w:val="24"/>
        </w:rPr>
        <w:t>Problem Solving – Employability and Career Development</w:t>
      </w:r>
    </w:p>
    <w:p w14:paraId="7A9ABD84" w14:textId="77777777" w:rsidR="0040073D" w:rsidRDefault="00000000">
      <w:pPr>
        <w:spacing w:after="240"/>
        <w:jc w:val="center"/>
      </w:pPr>
      <w:r>
        <w:rPr>
          <w:i/>
          <w:color w:val="69717C"/>
        </w:rPr>
        <w:t>Optional reading and reflection guide</w:t>
      </w:r>
    </w:p>
    <w:p w14:paraId="1D65694B" w14:textId="77777777" w:rsidR="0040073D" w:rsidRDefault="00000000">
      <w:pPr>
        <w:spacing w:after="160"/>
        <w:jc w:val="center"/>
      </w:pPr>
      <w:r>
        <w:rPr>
          <w:color w:val="F6B900"/>
          <w:sz w:val="16"/>
        </w:rPr>
        <w:t>━━━━━━━━━━━━━━━━━━━━━━━━━━━━━━━━━━━━━━━━━━━━</w:t>
      </w:r>
    </w:p>
    <w:tbl>
      <w:tblPr>
        <w:tblW w:w="0" w:type="auto"/>
        <w:jc w:val="center"/>
        <w:tblLayout w:type="fixed"/>
        <w:tblLook w:val="04A0" w:firstRow="1" w:lastRow="0" w:firstColumn="1" w:lastColumn="0" w:noHBand="0" w:noVBand="1"/>
      </w:tblPr>
      <w:tblGrid>
        <w:gridCol w:w="9978"/>
      </w:tblGrid>
      <w:tr w:rsidR="0040073D" w14:paraId="4C70D6ED" w14:textId="77777777">
        <w:trPr>
          <w:jc w:val="center"/>
        </w:trPr>
        <w:tc>
          <w:tcPr>
            <w:tcW w:w="9978" w:type="dxa"/>
            <w:tcBorders>
              <w:top w:val="single" w:sz="10" w:space="0" w:color="0B4F9C"/>
              <w:left w:val="single" w:sz="6" w:space="0" w:color="0B4F9C"/>
              <w:bottom w:val="single" w:sz="6" w:space="0" w:color="0B4F9C"/>
              <w:right w:val="single" w:sz="6" w:space="0" w:color="0B4F9C"/>
            </w:tcBorders>
            <w:shd w:val="clear" w:color="auto" w:fill="EAF2FB"/>
            <w:tcMar>
              <w:top w:w="130" w:type="dxa"/>
              <w:left w:w="160" w:type="dxa"/>
              <w:bottom w:w="130" w:type="dxa"/>
              <w:right w:w="160" w:type="dxa"/>
            </w:tcMar>
          </w:tcPr>
          <w:p w14:paraId="568521DC" w14:textId="77777777" w:rsidR="0040073D" w:rsidRDefault="00000000">
            <w:r>
              <w:rPr>
                <w:sz w:val="19"/>
              </w:rPr>
              <w:t>Suggested study time: 15–20 minutes. As you read, consider how employability and career adaptability apply to your own field, current transitions, and future professional development.</w:t>
            </w:r>
          </w:p>
        </w:tc>
      </w:tr>
    </w:tbl>
    <w:p w14:paraId="1FF2326B" w14:textId="77777777" w:rsidR="0040073D" w:rsidRDefault="0040073D">
      <w:pPr>
        <w:spacing w:after="0"/>
      </w:pPr>
    </w:p>
    <w:p w14:paraId="2984F110" w14:textId="77777777" w:rsidR="0040073D" w:rsidRDefault="00000000">
      <w:pPr>
        <w:keepNext/>
        <w:pBdr>
          <w:bottom w:val="single" w:sz="12" w:space="4" w:color="F6B900"/>
        </w:pBdr>
        <w:spacing w:before="160" w:after="80"/>
      </w:pPr>
      <w:r>
        <w:rPr>
          <w:b/>
          <w:color w:val="0B4F9C"/>
          <w:sz w:val="30"/>
        </w:rPr>
        <w:t>1  Why Lifelong Employability Matters</w:t>
      </w:r>
    </w:p>
    <w:p w14:paraId="6C20C382" w14:textId="77777777" w:rsidR="0040073D" w:rsidRDefault="00000000">
      <w:pPr>
        <w:spacing w:after="140" w:line="269" w:lineRule="auto"/>
      </w:pPr>
      <w:r>
        <w:t>Careers increasingly develop through a sequence of roles, projects, learning experiences, and transitions rather than through one fixed occupational path. For students and graduates, this means that career development does not end after obtaining the first job. It involves an ongoing ability to learn, recognise opportunities, communicate one’s value, build professional relationships, and respond constructively to change.</w:t>
      </w:r>
    </w:p>
    <w:p w14:paraId="3FF9441E" w14:textId="77777777" w:rsidR="0040073D" w:rsidRDefault="00000000">
      <w:pPr>
        <w:spacing w:after="140" w:line="269" w:lineRule="auto"/>
      </w:pPr>
      <w:r>
        <w:t>Lifelong employability can be understood as the capacity to obtain, maintain, and create meaningful work opportunities across different stages of life. It includes relevant knowledge and skills, but it also depends on self-awareness, adaptability, motivation, health and well-being, social resources, and the ability to present evidence of competence. Employability is therefore broader than “being employed” at a particular moment. A person may currently have a job yet still need to update skills, expand networks, or prepare for future changes.</w:t>
      </w:r>
    </w:p>
    <w:p w14:paraId="58B71055" w14:textId="77777777" w:rsidR="0040073D" w:rsidRDefault="00000000">
      <w:pPr>
        <w:spacing w:after="140" w:line="269" w:lineRule="auto"/>
      </w:pPr>
      <w:r>
        <w:t>A lifelong perspective is especially important because work environments, technologies, organisational needs, and personal priorities can change. Sustainable career development requires regular reflection: What can I currently contribute? What am I learning? Which opportunities fit my values and circumstances? What should I develop next?</w:t>
      </w:r>
    </w:p>
    <w:p w14:paraId="01FA7A21" w14:textId="77777777" w:rsidR="0040073D" w:rsidRDefault="00000000">
      <w:pPr>
        <w:keepNext/>
        <w:pBdr>
          <w:bottom w:val="single" w:sz="12" w:space="4" w:color="F6B900"/>
        </w:pBdr>
        <w:spacing w:before="160" w:after="80"/>
      </w:pPr>
      <w:r>
        <w:rPr>
          <w:b/>
          <w:color w:val="0B4F9C"/>
          <w:sz w:val="30"/>
        </w:rPr>
        <w:t>2  Employability Is More Than a List of Skills</w:t>
      </w:r>
    </w:p>
    <w:p w14:paraId="012BF106" w14:textId="77777777" w:rsidR="0040073D" w:rsidRDefault="00000000">
      <w:pPr>
        <w:pStyle w:val="ListBullet"/>
        <w:spacing w:after="60"/>
        <w:ind w:left="312" w:hanging="142"/>
      </w:pPr>
      <w:r>
        <w:rPr>
          <w:sz w:val="19"/>
        </w:rPr>
        <w:t>Human capital: knowledge, transferable skills, qualifications, and relevant experience.</w:t>
      </w:r>
    </w:p>
    <w:p w14:paraId="0DCA2D08" w14:textId="77777777" w:rsidR="0040073D" w:rsidRDefault="00000000">
      <w:pPr>
        <w:pStyle w:val="ListBullet"/>
        <w:spacing w:after="60"/>
        <w:ind w:left="312" w:hanging="142"/>
      </w:pPr>
      <w:r>
        <w:rPr>
          <w:sz w:val="19"/>
        </w:rPr>
        <w:t>Career identity: a coherent sense of interests, values, strengths, preferred contribution, and professional direction.</w:t>
      </w:r>
    </w:p>
    <w:p w14:paraId="202E38B6" w14:textId="77777777" w:rsidR="0040073D" w:rsidRDefault="00000000">
      <w:pPr>
        <w:pStyle w:val="ListBullet"/>
        <w:spacing w:after="60"/>
        <w:ind w:left="312" w:hanging="142"/>
      </w:pPr>
      <w:r>
        <w:rPr>
          <w:sz w:val="19"/>
        </w:rPr>
        <w:t>Personal adaptability: openness to learning, confidence in dealing with uncertainty, and readiness to revise plans.</w:t>
      </w:r>
    </w:p>
    <w:p w14:paraId="2842564C" w14:textId="77777777" w:rsidR="0040073D" w:rsidRDefault="00000000">
      <w:pPr>
        <w:pStyle w:val="ListBullet"/>
        <w:spacing w:after="60"/>
        <w:ind w:left="312" w:hanging="142"/>
      </w:pPr>
      <w:r>
        <w:rPr>
          <w:sz w:val="19"/>
        </w:rPr>
        <w:t>Social capital: relationships that provide information, feedback, encouragement, collaboration, and access to opportunities.</w:t>
      </w:r>
    </w:p>
    <w:p w14:paraId="13F565CC" w14:textId="77777777" w:rsidR="0040073D" w:rsidRDefault="00000000">
      <w:pPr>
        <w:pStyle w:val="ListBullet"/>
        <w:spacing w:after="60"/>
        <w:ind w:left="312" w:hanging="142"/>
      </w:pPr>
      <w:r>
        <w:rPr>
          <w:sz w:val="19"/>
        </w:rPr>
        <w:t>Career self-management: setting goals, gathering labour-market information, presenting evidence of competence, and acting on feedback.</w:t>
      </w:r>
    </w:p>
    <w:p w14:paraId="484F01D3" w14:textId="77777777" w:rsidR="0040073D" w:rsidRDefault="00000000">
      <w:pPr>
        <w:spacing w:before="100" w:after="120"/>
      </w:pPr>
      <w:r>
        <w:t>These elements interact. For example, a student may have strong technical knowledge but struggle to explain it to employers; another may communicate confidently but need more evidence of applied experience. Effective career planning begins by identifying the combination that is most relevant at the present stage.</w:t>
      </w:r>
    </w:p>
    <w:p w14:paraId="1A05D6C5" w14:textId="77777777" w:rsidR="0040073D" w:rsidRDefault="00000000">
      <w:r>
        <w:br w:type="page"/>
      </w:r>
    </w:p>
    <w:p w14:paraId="6D0CF23F" w14:textId="77777777" w:rsidR="0040073D" w:rsidRDefault="00000000">
      <w:pPr>
        <w:keepNext/>
        <w:pBdr>
          <w:bottom w:val="single" w:sz="12" w:space="4" w:color="F6B900"/>
        </w:pBdr>
        <w:spacing w:before="160" w:after="80"/>
      </w:pPr>
      <w:r>
        <w:rPr>
          <w:b/>
          <w:color w:val="0B4F9C"/>
          <w:sz w:val="30"/>
        </w:rPr>
        <w:lastRenderedPageBreak/>
        <w:t>3  Career Adaptability: The Four Cs</w:t>
      </w:r>
    </w:p>
    <w:p w14:paraId="24B63AF2" w14:textId="77777777" w:rsidR="0040073D" w:rsidRDefault="00000000">
      <w:pPr>
        <w:spacing w:after="140" w:line="269" w:lineRule="auto"/>
      </w:pPr>
      <w:r>
        <w:t>Career adaptability refers to psychosocial resources that help people manage current and anticipated career tasks, transitions, and unexpected changes. A widely used framework describes four interrelated resources: concern, control, curiosity, and confidence.</w:t>
      </w:r>
    </w:p>
    <w:tbl>
      <w:tblPr>
        <w:tblW w:w="0" w:type="auto"/>
        <w:jc w:val="center"/>
        <w:tblLayout w:type="fixed"/>
        <w:tblLook w:val="04A0" w:firstRow="1" w:lastRow="0" w:firstColumn="1" w:lastColumn="0" w:noHBand="0" w:noVBand="1"/>
      </w:tblPr>
      <w:tblGrid>
        <w:gridCol w:w="3326"/>
        <w:gridCol w:w="3326"/>
        <w:gridCol w:w="3326"/>
      </w:tblGrid>
      <w:tr w:rsidR="0040073D" w14:paraId="79506452" w14:textId="77777777">
        <w:trPr>
          <w:tblHeader/>
          <w:jc w:val="center"/>
        </w:trPr>
        <w:tc>
          <w:tcPr>
            <w:tcW w:w="3326" w:type="dxa"/>
            <w:tcBorders>
              <w:top w:val="single" w:sz="6" w:space="0" w:color="FFFFFF"/>
              <w:left w:val="single" w:sz="6" w:space="0" w:color="FFFFFF"/>
              <w:bottom w:val="single" w:sz="6" w:space="0" w:color="FFFFFF"/>
              <w:right w:val="single" w:sz="6" w:space="0" w:color="FFFFFF"/>
            </w:tcBorders>
            <w:shd w:val="clear" w:color="auto" w:fill="0B4F9C"/>
            <w:tcMar>
              <w:top w:w="100" w:type="dxa"/>
              <w:left w:w="100" w:type="dxa"/>
              <w:bottom w:w="100" w:type="dxa"/>
              <w:right w:w="100" w:type="dxa"/>
            </w:tcMar>
            <w:vAlign w:val="center"/>
          </w:tcPr>
          <w:p w14:paraId="7E002AA8" w14:textId="77777777" w:rsidR="0040073D" w:rsidRDefault="00000000">
            <w:pPr>
              <w:jc w:val="center"/>
            </w:pPr>
            <w:r>
              <w:rPr>
                <w:b/>
                <w:color w:val="FFFFFF"/>
                <w:sz w:val="18"/>
              </w:rPr>
              <w:t>Adaptability resource</w:t>
            </w:r>
          </w:p>
        </w:tc>
        <w:tc>
          <w:tcPr>
            <w:tcW w:w="3326" w:type="dxa"/>
            <w:tcBorders>
              <w:top w:val="single" w:sz="6" w:space="0" w:color="FFFFFF"/>
              <w:left w:val="single" w:sz="6" w:space="0" w:color="FFFFFF"/>
              <w:bottom w:val="single" w:sz="6" w:space="0" w:color="FFFFFF"/>
              <w:right w:val="single" w:sz="6" w:space="0" w:color="FFFFFF"/>
            </w:tcBorders>
            <w:shd w:val="clear" w:color="auto" w:fill="0B4F9C"/>
            <w:tcMar>
              <w:top w:w="100" w:type="dxa"/>
              <w:left w:w="100" w:type="dxa"/>
              <w:bottom w:w="100" w:type="dxa"/>
              <w:right w:w="100" w:type="dxa"/>
            </w:tcMar>
            <w:vAlign w:val="center"/>
          </w:tcPr>
          <w:p w14:paraId="67715994" w14:textId="77777777" w:rsidR="0040073D" w:rsidRDefault="00000000">
            <w:pPr>
              <w:jc w:val="center"/>
            </w:pPr>
            <w:r>
              <w:rPr>
                <w:b/>
                <w:color w:val="FFFFFF"/>
                <w:sz w:val="18"/>
              </w:rPr>
              <w:t>What it means</w:t>
            </w:r>
          </w:p>
        </w:tc>
        <w:tc>
          <w:tcPr>
            <w:tcW w:w="3326" w:type="dxa"/>
            <w:tcBorders>
              <w:top w:val="single" w:sz="6" w:space="0" w:color="FFFFFF"/>
              <w:left w:val="single" w:sz="6" w:space="0" w:color="FFFFFF"/>
              <w:bottom w:val="single" w:sz="6" w:space="0" w:color="FFFFFF"/>
              <w:right w:val="single" w:sz="6" w:space="0" w:color="FFFFFF"/>
            </w:tcBorders>
            <w:shd w:val="clear" w:color="auto" w:fill="0B4F9C"/>
            <w:tcMar>
              <w:top w:w="100" w:type="dxa"/>
              <w:left w:w="100" w:type="dxa"/>
              <w:bottom w:w="100" w:type="dxa"/>
              <w:right w:w="100" w:type="dxa"/>
            </w:tcMar>
            <w:vAlign w:val="center"/>
          </w:tcPr>
          <w:p w14:paraId="028667FF" w14:textId="77777777" w:rsidR="0040073D" w:rsidRDefault="00000000">
            <w:pPr>
              <w:jc w:val="center"/>
            </w:pPr>
            <w:r>
              <w:rPr>
                <w:b/>
                <w:color w:val="FFFFFF"/>
                <w:sz w:val="18"/>
              </w:rPr>
              <w:t>Examples of development activities</w:t>
            </w:r>
          </w:p>
        </w:tc>
      </w:tr>
      <w:tr w:rsidR="0040073D" w14:paraId="67443AB6" w14:textId="77777777">
        <w:trPr>
          <w:trHeight w:val="1134"/>
          <w:jc w:val="center"/>
        </w:trPr>
        <w:tc>
          <w:tcPr>
            <w:tcW w:w="3326"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1C2590F5" w14:textId="77777777" w:rsidR="0040073D" w:rsidRDefault="00000000">
            <w:pPr>
              <w:spacing w:after="0"/>
            </w:pPr>
            <w:r>
              <w:rPr>
                <w:b/>
                <w:sz w:val="18"/>
              </w:rPr>
              <w:t>Concern</w:t>
            </w:r>
            <w:r>
              <w:br/>
            </w:r>
            <w:r>
              <w:rPr>
                <w:i/>
                <w:color w:val="69717C"/>
                <w:sz w:val="18"/>
              </w:rPr>
              <w:t>Future orientation</w:t>
            </w:r>
          </w:p>
        </w:tc>
        <w:tc>
          <w:tcPr>
            <w:tcW w:w="3326"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6836D873" w14:textId="77777777" w:rsidR="0040073D" w:rsidRDefault="00000000">
            <w:pPr>
              <w:spacing w:after="0"/>
            </w:pPr>
            <w:r>
              <w:rPr>
                <w:sz w:val="18"/>
              </w:rPr>
              <w:t>Preparing for and caring about one’s vocational future.</w:t>
            </w:r>
          </w:p>
        </w:tc>
        <w:tc>
          <w:tcPr>
            <w:tcW w:w="3326"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1B1A9EA1" w14:textId="77777777" w:rsidR="0040073D" w:rsidRDefault="00000000">
            <w:pPr>
              <w:spacing w:after="0"/>
            </w:pPr>
            <w:r>
              <w:rPr>
                <w:sz w:val="18"/>
              </w:rPr>
              <w:t>Create future scenarios; set review dates; identify upcoming transitions; update a development plan.</w:t>
            </w:r>
          </w:p>
        </w:tc>
      </w:tr>
      <w:tr w:rsidR="0040073D" w14:paraId="07026C0B" w14:textId="77777777">
        <w:trPr>
          <w:trHeight w:val="1134"/>
          <w:jc w:val="center"/>
        </w:trPr>
        <w:tc>
          <w:tcPr>
            <w:tcW w:w="3326"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3F8D491C" w14:textId="77777777" w:rsidR="0040073D" w:rsidRDefault="00000000">
            <w:pPr>
              <w:spacing w:after="0"/>
            </w:pPr>
            <w:r>
              <w:rPr>
                <w:b/>
                <w:sz w:val="18"/>
              </w:rPr>
              <w:t>Control</w:t>
            </w:r>
            <w:r>
              <w:br/>
            </w:r>
            <w:r>
              <w:rPr>
                <w:i/>
                <w:color w:val="69717C"/>
                <w:sz w:val="18"/>
              </w:rPr>
              <w:t>Personal agency</w:t>
            </w:r>
          </w:p>
        </w:tc>
        <w:tc>
          <w:tcPr>
            <w:tcW w:w="3326"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2A3A8DB7" w14:textId="77777777" w:rsidR="0040073D" w:rsidRDefault="00000000">
            <w:pPr>
              <w:spacing w:after="0"/>
            </w:pPr>
            <w:r>
              <w:rPr>
                <w:sz w:val="18"/>
              </w:rPr>
              <w:t>Taking responsibility for choices and actions while recognising real constraints.</w:t>
            </w:r>
          </w:p>
        </w:tc>
        <w:tc>
          <w:tcPr>
            <w:tcW w:w="3326"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235B7774" w14:textId="77777777" w:rsidR="0040073D" w:rsidRDefault="00000000">
            <w:pPr>
              <w:spacing w:after="0"/>
            </w:pPr>
            <w:r>
              <w:rPr>
                <w:sz w:val="18"/>
              </w:rPr>
              <w:t>Define one next step; use implementation intentions; monitor habits; seek information before deciding.</w:t>
            </w:r>
          </w:p>
        </w:tc>
      </w:tr>
      <w:tr w:rsidR="0040073D" w14:paraId="745BB1D1" w14:textId="77777777">
        <w:trPr>
          <w:trHeight w:val="1134"/>
          <w:jc w:val="center"/>
        </w:trPr>
        <w:tc>
          <w:tcPr>
            <w:tcW w:w="3326"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02F79FBE" w14:textId="77777777" w:rsidR="0040073D" w:rsidRDefault="00000000">
            <w:pPr>
              <w:spacing w:after="0"/>
            </w:pPr>
            <w:r>
              <w:rPr>
                <w:b/>
                <w:sz w:val="18"/>
              </w:rPr>
              <w:t>Curiosity</w:t>
            </w:r>
            <w:r>
              <w:br/>
            </w:r>
            <w:r>
              <w:rPr>
                <w:i/>
                <w:color w:val="69717C"/>
                <w:sz w:val="18"/>
              </w:rPr>
              <w:t>Exploration</w:t>
            </w:r>
          </w:p>
        </w:tc>
        <w:tc>
          <w:tcPr>
            <w:tcW w:w="3326"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70B7E2E9" w14:textId="77777777" w:rsidR="0040073D" w:rsidRDefault="00000000">
            <w:pPr>
              <w:spacing w:after="0"/>
            </w:pPr>
            <w:r>
              <w:rPr>
                <w:sz w:val="18"/>
              </w:rPr>
              <w:t>Exploring possible roles, environments, identities, and pathways.</w:t>
            </w:r>
          </w:p>
        </w:tc>
        <w:tc>
          <w:tcPr>
            <w:tcW w:w="3326"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5988E8E6" w14:textId="77777777" w:rsidR="0040073D" w:rsidRDefault="00000000">
            <w:pPr>
              <w:spacing w:after="0"/>
            </w:pPr>
            <w:r>
              <w:rPr>
                <w:sz w:val="18"/>
              </w:rPr>
              <w:t>Conduct an informational interview; compare job descriptions; try a project; attend an event outside your usual field.</w:t>
            </w:r>
          </w:p>
        </w:tc>
      </w:tr>
      <w:tr w:rsidR="0040073D" w14:paraId="41C94F51" w14:textId="77777777">
        <w:trPr>
          <w:trHeight w:val="1134"/>
          <w:jc w:val="center"/>
        </w:trPr>
        <w:tc>
          <w:tcPr>
            <w:tcW w:w="3326"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7CC19F33" w14:textId="77777777" w:rsidR="0040073D" w:rsidRDefault="00000000">
            <w:pPr>
              <w:spacing w:after="0"/>
            </w:pPr>
            <w:r>
              <w:rPr>
                <w:b/>
                <w:sz w:val="18"/>
              </w:rPr>
              <w:t>Confidence</w:t>
            </w:r>
            <w:r>
              <w:br/>
            </w:r>
            <w:r>
              <w:rPr>
                <w:i/>
                <w:color w:val="69717C"/>
                <w:sz w:val="18"/>
              </w:rPr>
              <w:t>Self-efficacy</w:t>
            </w:r>
          </w:p>
        </w:tc>
        <w:tc>
          <w:tcPr>
            <w:tcW w:w="3326"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2B056688" w14:textId="77777777" w:rsidR="0040073D" w:rsidRDefault="00000000">
            <w:pPr>
              <w:spacing w:after="0"/>
            </w:pPr>
            <w:r>
              <w:rPr>
                <w:sz w:val="18"/>
              </w:rPr>
              <w:t>Believing that one can solve problems and pursue goals despite obstacles.</w:t>
            </w:r>
          </w:p>
        </w:tc>
        <w:tc>
          <w:tcPr>
            <w:tcW w:w="3326"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093B44C1" w14:textId="77777777" w:rsidR="0040073D" w:rsidRDefault="00000000">
            <w:pPr>
              <w:spacing w:after="0"/>
            </w:pPr>
            <w:r>
              <w:rPr>
                <w:sz w:val="18"/>
              </w:rPr>
              <w:t>Break tasks into smaller steps; gather evidence of strengths; practise skills; request feedback; record progress.</w:t>
            </w:r>
          </w:p>
        </w:tc>
      </w:tr>
    </w:tbl>
    <w:p w14:paraId="62F4C0E6" w14:textId="77777777" w:rsidR="0040073D" w:rsidRDefault="0040073D">
      <w:pPr>
        <w:spacing w:after="0"/>
      </w:pPr>
    </w:p>
    <w:p w14:paraId="629915AA" w14:textId="77777777" w:rsidR="0040073D" w:rsidRDefault="00000000">
      <w:pPr>
        <w:spacing w:before="120" w:after="140" w:line="269" w:lineRule="auto"/>
      </w:pPr>
      <w:r>
        <w:t>The four resources are not fixed traits. They can be strengthened through experience, reflection, feedback, and repeated action. They are also situational: a person may feel confident in academic tasks but uncertain in networking, or curious about several fields but need more control to make and implement a decision.</w:t>
      </w:r>
    </w:p>
    <w:p w14:paraId="25E0F9FE" w14:textId="77777777" w:rsidR="0040073D" w:rsidRDefault="00000000">
      <w:pPr>
        <w:keepNext/>
        <w:pBdr>
          <w:bottom w:val="single" w:sz="12" w:space="4" w:color="F6B900"/>
        </w:pBdr>
        <w:spacing w:before="160" w:after="80"/>
      </w:pPr>
      <w:r>
        <w:rPr>
          <w:b/>
          <w:color w:val="0B4F9C"/>
          <w:sz w:val="30"/>
        </w:rPr>
        <w:t>4  Developing Adaptability Through Small Experiments</w:t>
      </w:r>
    </w:p>
    <w:p w14:paraId="42E359F1" w14:textId="77777777" w:rsidR="0040073D" w:rsidRDefault="00000000">
      <w:r>
        <w:t>Career uncertainty is not always resolved by thinking longer. It is often reduced by testing assumptions through low-risk actions. Examples include:</w:t>
      </w:r>
    </w:p>
    <w:p w14:paraId="26FE5622" w14:textId="77777777" w:rsidR="0040073D" w:rsidRDefault="00000000">
      <w:pPr>
        <w:pStyle w:val="ListBullet"/>
        <w:spacing w:after="60"/>
        <w:ind w:left="312" w:hanging="142"/>
      </w:pPr>
      <w:r>
        <w:rPr>
          <w:sz w:val="19"/>
        </w:rPr>
        <w:t>asking a professional what a typical working week actually involves;</w:t>
      </w:r>
    </w:p>
    <w:p w14:paraId="063B1931" w14:textId="77777777" w:rsidR="0040073D" w:rsidRDefault="00000000">
      <w:pPr>
        <w:pStyle w:val="ListBullet"/>
        <w:spacing w:after="60"/>
        <w:ind w:left="312" w:hanging="142"/>
      </w:pPr>
      <w:r>
        <w:rPr>
          <w:sz w:val="19"/>
        </w:rPr>
        <w:t>completing a small project to test interest in a task or field;</w:t>
      </w:r>
    </w:p>
    <w:p w14:paraId="2442212D" w14:textId="77777777" w:rsidR="0040073D" w:rsidRDefault="00000000">
      <w:pPr>
        <w:pStyle w:val="ListBullet"/>
        <w:spacing w:after="60"/>
        <w:ind w:left="312" w:hanging="142"/>
      </w:pPr>
      <w:r>
        <w:rPr>
          <w:sz w:val="19"/>
        </w:rPr>
        <w:t>revising a CV to emphasise evidence rather than general self-descriptions;</w:t>
      </w:r>
    </w:p>
    <w:p w14:paraId="17FF93EA" w14:textId="77777777" w:rsidR="0040073D" w:rsidRDefault="00000000">
      <w:pPr>
        <w:pStyle w:val="ListBullet"/>
        <w:spacing w:after="60"/>
        <w:ind w:left="312" w:hanging="142"/>
      </w:pPr>
      <w:r>
        <w:rPr>
          <w:sz w:val="19"/>
        </w:rPr>
        <w:t>requesting targeted feedback on one skill;</w:t>
      </w:r>
    </w:p>
    <w:p w14:paraId="42DA464F" w14:textId="77777777" w:rsidR="0040073D" w:rsidRDefault="00000000">
      <w:pPr>
        <w:pStyle w:val="ListBullet"/>
        <w:spacing w:after="60"/>
        <w:ind w:left="312" w:hanging="142"/>
      </w:pPr>
      <w:r>
        <w:rPr>
          <w:sz w:val="19"/>
        </w:rPr>
        <w:t>attending one workshop, lecture, career fair, or professional meeting;</w:t>
      </w:r>
    </w:p>
    <w:p w14:paraId="4AC8176B" w14:textId="77777777" w:rsidR="0040073D" w:rsidRDefault="00000000">
      <w:pPr>
        <w:pStyle w:val="ListBullet"/>
        <w:spacing w:after="60"/>
        <w:ind w:left="312" w:hanging="142"/>
      </w:pPr>
      <w:r>
        <w:rPr>
          <w:sz w:val="19"/>
        </w:rPr>
        <w:t>setting a seven-day action rather than waiting for a complete long-term plan.</w:t>
      </w:r>
    </w:p>
    <w:p w14:paraId="79375216" w14:textId="77777777" w:rsidR="0040073D" w:rsidRDefault="00000000">
      <w:r>
        <w:br w:type="page"/>
      </w:r>
    </w:p>
    <w:p w14:paraId="5A551D9C" w14:textId="77777777" w:rsidR="0040073D" w:rsidRDefault="00000000">
      <w:pPr>
        <w:keepNext/>
        <w:pBdr>
          <w:bottom w:val="single" w:sz="12" w:space="4" w:color="F6B900"/>
        </w:pBdr>
        <w:spacing w:before="160" w:after="80"/>
      </w:pPr>
      <w:r>
        <w:rPr>
          <w:b/>
          <w:color w:val="0B4F9C"/>
          <w:sz w:val="30"/>
        </w:rPr>
        <w:lastRenderedPageBreak/>
        <w:t>5  Balancing Adaptability and Well-Being</w:t>
      </w:r>
    </w:p>
    <w:p w14:paraId="0E5DE130" w14:textId="77777777" w:rsidR="0040073D" w:rsidRDefault="00000000">
      <w:pPr>
        <w:spacing w:after="140" w:line="269" w:lineRule="auto"/>
      </w:pPr>
      <w:r>
        <w:t>Adaptability should not be interpreted as unlimited flexibility or as an individual obligation to accept every demand. Career decisions take place within economic, organisational, family, health, and social conditions. A realistic development plan acknowledges constraints and identifies support, negotiation, boundaries, and alternative routes.</w:t>
      </w:r>
    </w:p>
    <w:p w14:paraId="4294970C" w14:textId="77777777" w:rsidR="0040073D" w:rsidRDefault="00000000">
      <w:pPr>
        <w:spacing w:after="140" w:line="269" w:lineRule="auto"/>
      </w:pPr>
      <w:r>
        <w:t>Sustainable employability involves the possibility of continuing to work and learn in ways that are meaningful and compatible with well-being. Progress may therefore include not only acquiring a new competence, but also clarifying priorities, reducing an unsustainable workload, seeking a more supportive environment, or redefining success.</w:t>
      </w:r>
    </w:p>
    <w:p w14:paraId="5973926E" w14:textId="77777777" w:rsidR="0040073D" w:rsidRDefault="00000000">
      <w:pPr>
        <w:keepNext/>
        <w:pBdr>
          <w:bottom w:val="single" w:sz="12" w:space="4" w:color="F6B900"/>
        </w:pBdr>
        <w:spacing w:before="160" w:after="80"/>
      </w:pPr>
      <w:r>
        <w:rPr>
          <w:b/>
          <w:color w:val="0B4F9C"/>
          <w:sz w:val="30"/>
        </w:rPr>
        <w:t>6  Reflection Questions</w:t>
      </w:r>
    </w:p>
    <w:tbl>
      <w:tblPr>
        <w:tblW w:w="0" w:type="auto"/>
        <w:jc w:val="center"/>
        <w:tblLayout w:type="fixed"/>
        <w:tblLook w:val="04A0" w:firstRow="1" w:lastRow="0" w:firstColumn="1" w:lastColumn="0" w:noHBand="0" w:noVBand="1"/>
      </w:tblPr>
      <w:tblGrid>
        <w:gridCol w:w="4989"/>
        <w:gridCol w:w="4989"/>
      </w:tblGrid>
      <w:tr w:rsidR="0040073D" w14:paraId="29F7A83C" w14:textId="77777777">
        <w:trPr>
          <w:tblHeader/>
          <w:jc w:val="center"/>
        </w:trPr>
        <w:tc>
          <w:tcPr>
            <w:tcW w:w="4989" w:type="dxa"/>
            <w:tcBorders>
              <w:top w:val="single" w:sz="6" w:space="0" w:color="FFFFFF"/>
              <w:left w:val="single" w:sz="6" w:space="0" w:color="FFFFFF"/>
              <w:bottom w:val="single" w:sz="6" w:space="0" w:color="FFFFFF"/>
              <w:right w:val="single" w:sz="6" w:space="0" w:color="FFFFFF"/>
            </w:tcBorders>
            <w:shd w:val="clear" w:color="auto" w:fill="0B4F9C"/>
            <w:tcMar>
              <w:top w:w="100" w:type="dxa"/>
              <w:left w:w="100" w:type="dxa"/>
              <w:bottom w:w="100" w:type="dxa"/>
              <w:right w:w="100" w:type="dxa"/>
            </w:tcMar>
            <w:vAlign w:val="center"/>
          </w:tcPr>
          <w:p w14:paraId="41C57574" w14:textId="77777777" w:rsidR="0040073D" w:rsidRDefault="00000000">
            <w:pPr>
              <w:jc w:val="center"/>
            </w:pPr>
            <w:r>
              <w:rPr>
                <w:b/>
                <w:color w:val="FFFFFF"/>
                <w:sz w:val="18"/>
              </w:rPr>
              <w:t>Question</w:t>
            </w:r>
          </w:p>
        </w:tc>
        <w:tc>
          <w:tcPr>
            <w:tcW w:w="4989" w:type="dxa"/>
            <w:tcBorders>
              <w:top w:val="single" w:sz="6" w:space="0" w:color="FFFFFF"/>
              <w:left w:val="single" w:sz="6" w:space="0" w:color="FFFFFF"/>
              <w:bottom w:val="single" w:sz="6" w:space="0" w:color="FFFFFF"/>
              <w:right w:val="single" w:sz="6" w:space="0" w:color="FFFFFF"/>
            </w:tcBorders>
            <w:shd w:val="clear" w:color="auto" w:fill="0B4F9C"/>
            <w:tcMar>
              <w:top w:w="100" w:type="dxa"/>
              <w:left w:w="100" w:type="dxa"/>
              <w:bottom w:w="100" w:type="dxa"/>
              <w:right w:w="100" w:type="dxa"/>
            </w:tcMar>
            <w:vAlign w:val="center"/>
          </w:tcPr>
          <w:p w14:paraId="4F37C7C5" w14:textId="77777777" w:rsidR="0040073D" w:rsidRDefault="00000000">
            <w:pPr>
              <w:jc w:val="center"/>
            </w:pPr>
            <w:r>
              <w:rPr>
                <w:b/>
                <w:color w:val="FFFFFF"/>
                <w:sz w:val="18"/>
              </w:rPr>
              <w:t>Notes</w:t>
            </w:r>
          </w:p>
        </w:tc>
      </w:tr>
      <w:tr w:rsidR="0040073D" w14:paraId="1937B9C1" w14:textId="77777777">
        <w:trPr>
          <w:trHeight w:val="822"/>
          <w:jc w:val="center"/>
        </w:trPr>
        <w:tc>
          <w:tcPr>
            <w:tcW w:w="4989"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1CFDCD35" w14:textId="77777777" w:rsidR="0040073D" w:rsidRDefault="00000000">
            <w:pPr>
              <w:spacing w:after="0"/>
            </w:pPr>
            <w:r>
              <w:rPr>
                <w:sz w:val="18"/>
              </w:rPr>
              <w:t>Which employability resource is currently strongest for me? What evidence supports this?</w:t>
            </w:r>
          </w:p>
        </w:tc>
        <w:tc>
          <w:tcPr>
            <w:tcW w:w="4989"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4FB621B3" w14:textId="77777777" w:rsidR="0040073D" w:rsidRDefault="00000000">
            <w:pPr>
              <w:spacing w:after="0"/>
            </w:pPr>
            <w:r>
              <w:rPr>
                <w:i/>
                <w:color w:val="69717C"/>
                <w:sz w:val="18"/>
              </w:rPr>
              <w:t>[Optional notes]</w:t>
            </w:r>
          </w:p>
        </w:tc>
      </w:tr>
      <w:tr w:rsidR="0040073D" w14:paraId="762567EB" w14:textId="77777777">
        <w:trPr>
          <w:trHeight w:val="822"/>
          <w:jc w:val="center"/>
        </w:trPr>
        <w:tc>
          <w:tcPr>
            <w:tcW w:w="4989"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09DDDFE8" w14:textId="77777777" w:rsidR="0040073D" w:rsidRDefault="00000000">
            <w:pPr>
              <w:spacing w:after="0"/>
            </w:pPr>
            <w:r>
              <w:rPr>
                <w:sz w:val="18"/>
              </w:rPr>
              <w:t>Which of the four career adaptability resources would be most useful to strengthen now?</w:t>
            </w:r>
          </w:p>
        </w:tc>
        <w:tc>
          <w:tcPr>
            <w:tcW w:w="4989"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1FE38300" w14:textId="77777777" w:rsidR="0040073D" w:rsidRDefault="00000000">
            <w:pPr>
              <w:spacing w:after="0"/>
            </w:pPr>
            <w:r>
              <w:rPr>
                <w:i/>
                <w:color w:val="69717C"/>
                <w:sz w:val="18"/>
              </w:rPr>
              <w:t>[Optional notes]</w:t>
            </w:r>
          </w:p>
        </w:tc>
      </w:tr>
      <w:tr w:rsidR="0040073D" w14:paraId="71CEFF8A" w14:textId="77777777">
        <w:trPr>
          <w:trHeight w:val="822"/>
          <w:jc w:val="center"/>
        </w:trPr>
        <w:tc>
          <w:tcPr>
            <w:tcW w:w="4989"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1410A92C" w14:textId="77777777" w:rsidR="0040073D" w:rsidRDefault="00000000">
            <w:pPr>
              <w:spacing w:after="0"/>
            </w:pPr>
            <w:r>
              <w:rPr>
                <w:sz w:val="18"/>
              </w:rPr>
              <w:t>What future transition or challenge would benefit from preparation?</w:t>
            </w:r>
          </w:p>
        </w:tc>
        <w:tc>
          <w:tcPr>
            <w:tcW w:w="4989"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5E36A7C4" w14:textId="77777777" w:rsidR="0040073D" w:rsidRDefault="00000000">
            <w:pPr>
              <w:spacing w:after="0"/>
            </w:pPr>
            <w:r>
              <w:rPr>
                <w:i/>
                <w:color w:val="69717C"/>
                <w:sz w:val="18"/>
              </w:rPr>
              <w:t>[Optional notes]</w:t>
            </w:r>
          </w:p>
        </w:tc>
      </w:tr>
      <w:tr w:rsidR="0040073D" w14:paraId="64DB2219" w14:textId="77777777">
        <w:trPr>
          <w:trHeight w:val="822"/>
          <w:jc w:val="center"/>
        </w:trPr>
        <w:tc>
          <w:tcPr>
            <w:tcW w:w="4989"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2D2E3C35" w14:textId="77777777" w:rsidR="0040073D" w:rsidRDefault="00000000">
            <w:pPr>
              <w:spacing w:after="0"/>
            </w:pPr>
            <w:r>
              <w:rPr>
                <w:sz w:val="18"/>
              </w:rPr>
              <w:t>What small career experiment could I complete within the next seven days?</w:t>
            </w:r>
          </w:p>
        </w:tc>
        <w:tc>
          <w:tcPr>
            <w:tcW w:w="4989" w:type="dxa"/>
            <w:tcBorders>
              <w:top w:val="single" w:sz="5" w:space="0" w:color="C9D3DE"/>
              <w:left w:val="single" w:sz="5" w:space="0" w:color="C9D3DE"/>
              <w:bottom w:val="single" w:sz="5" w:space="0" w:color="C9D3DE"/>
              <w:right w:val="single" w:sz="5" w:space="0" w:color="C9D3DE"/>
            </w:tcBorders>
            <w:shd w:val="clear" w:color="auto" w:fill="F4F6F8"/>
            <w:tcMar>
              <w:top w:w="100" w:type="dxa"/>
              <w:left w:w="110" w:type="dxa"/>
              <w:bottom w:w="100" w:type="dxa"/>
              <w:right w:w="110" w:type="dxa"/>
            </w:tcMar>
          </w:tcPr>
          <w:p w14:paraId="61C88675" w14:textId="77777777" w:rsidR="0040073D" w:rsidRDefault="00000000">
            <w:pPr>
              <w:spacing w:after="0"/>
            </w:pPr>
            <w:r>
              <w:rPr>
                <w:i/>
                <w:color w:val="69717C"/>
                <w:sz w:val="18"/>
              </w:rPr>
              <w:t>[Optional notes]</w:t>
            </w:r>
          </w:p>
        </w:tc>
      </w:tr>
      <w:tr w:rsidR="0040073D" w14:paraId="19678D61" w14:textId="77777777">
        <w:trPr>
          <w:trHeight w:val="822"/>
          <w:jc w:val="center"/>
        </w:trPr>
        <w:tc>
          <w:tcPr>
            <w:tcW w:w="4989"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45B812FE" w14:textId="77777777" w:rsidR="0040073D" w:rsidRDefault="00000000">
            <w:pPr>
              <w:spacing w:after="0"/>
            </w:pPr>
            <w:r>
              <w:rPr>
                <w:sz w:val="18"/>
              </w:rPr>
              <w:t>Who could provide useful information, feedback, support, or access to experience?</w:t>
            </w:r>
          </w:p>
        </w:tc>
        <w:tc>
          <w:tcPr>
            <w:tcW w:w="4989" w:type="dxa"/>
            <w:tcBorders>
              <w:top w:val="single" w:sz="5" w:space="0" w:color="C9D3DE"/>
              <w:left w:val="single" w:sz="5" w:space="0" w:color="C9D3DE"/>
              <w:bottom w:val="single" w:sz="5" w:space="0" w:color="C9D3DE"/>
              <w:right w:val="single" w:sz="5" w:space="0" w:color="C9D3DE"/>
            </w:tcBorders>
            <w:shd w:val="clear" w:color="auto" w:fill="FFFFFF"/>
            <w:tcMar>
              <w:top w:w="100" w:type="dxa"/>
              <w:left w:w="110" w:type="dxa"/>
              <w:bottom w:w="100" w:type="dxa"/>
              <w:right w:w="110" w:type="dxa"/>
            </w:tcMar>
          </w:tcPr>
          <w:p w14:paraId="41BD620E" w14:textId="77777777" w:rsidR="0040073D" w:rsidRDefault="00000000">
            <w:pPr>
              <w:spacing w:after="0"/>
            </w:pPr>
            <w:r>
              <w:rPr>
                <w:i/>
                <w:color w:val="69717C"/>
                <w:sz w:val="18"/>
              </w:rPr>
              <w:t>[Optional notes]</w:t>
            </w:r>
          </w:p>
        </w:tc>
      </w:tr>
    </w:tbl>
    <w:p w14:paraId="34A770FF" w14:textId="77777777" w:rsidR="0040073D" w:rsidRDefault="0040073D">
      <w:pPr>
        <w:spacing w:after="0"/>
      </w:pPr>
    </w:p>
    <w:p w14:paraId="16A6A74D" w14:textId="77777777" w:rsidR="0040073D" w:rsidRDefault="00000000">
      <w:pPr>
        <w:keepNext/>
        <w:pBdr>
          <w:bottom w:val="single" w:sz="12" w:space="4" w:color="F6B900"/>
        </w:pBdr>
        <w:spacing w:before="160" w:after="80"/>
      </w:pPr>
      <w:r>
        <w:rPr>
          <w:b/>
          <w:color w:val="0B4F9C"/>
          <w:sz w:val="30"/>
        </w:rPr>
        <w:t>7  Key Takeaways</w:t>
      </w:r>
    </w:p>
    <w:p w14:paraId="126D0573" w14:textId="77777777" w:rsidR="0040073D" w:rsidRDefault="00000000">
      <w:pPr>
        <w:pStyle w:val="ListBullet"/>
        <w:spacing w:after="60"/>
        <w:ind w:left="312" w:hanging="142"/>
      </w:pPr>
      <w:r>
        <w:rPr>
          <w:sz w:val="19"/>
        </w:rPr>
        <w:t>Employability is a continuing capacity, not a one-time outcome or a guarantee of employment.</w:t>
      </w:r>
    </w:p>
    <w:p w14:paraId="7B76C366" w14:textId="77777777" w:rsidR="0040073D" w:rsidRDefault="00000000">
      <w:pPr>
        <w:pStyle w:val="ListBullet"/>
        <w:spacing w:after="60"/>
        <w:ind w:left="312" w:hanging="142"/>
      </w:pPr>
      <w:r>
        <w:rPr>
          <w:sz w:val="19"/>
        </w:rPr>
        <w:t>Career development combines competence, identity, adaptability, relationships, and self-management.</w:t>
      </w:r>
    </w:p>
    <w:p w14:paraId="163309DB" w14:textId="77777777" w:rsidR="0040073D" w:rsidRDefault="00000000">
      <w:pPr>
        <w:pStyle w:val="ListBullet"/>
        <w:spacing w:after="60"/>
        <w:ind w:left="312" w:hanging="142"/>
      </w:pPr>
      <w:r>
        <w:rPr>
          <w:sz w:val="19"/>
        </w:rPr>
        <w:t>Concern, control, curiosity, and confidence can be strengthened through deliberate practice.</w:t>
      </w:r>
    </w:p>
    <w:p w14:paraId="3F0DDC51" w14:textId="77777777" w:rsidR="0040073D" w:rsidRDefault="00000000">
      <w:pPr>
        <w:pStyle w:val="ListBullet"/>
        <w:spacing w:after="60"/>
        <w:ind w:left="312" w:hanging="142"/>
      </w:pPr>
      <w:r>
        <w:rPr>
          <w:sz w:val="19"/>
        </w:rPr>
        <w:t>Small actions and experiments often generate better information than prolonged abstract planning.</w:t>
      </w:r>
    </w:p>
    <w:p w14:paraId="11C9ED64" w14:textId="77777777" w:rsidR="0040073D" w:rsidRDefault="00000000">
      <w:pPr>
        <w:pStyle w:val="ListBullet"/>
        <w:spacing w:after="60"/>
        <w:ind w:left="312" w:hanging="142"/>
      </w:pPr>
      <w:r>
        <w:rPr>
          <w:sz w:val="19"/>
        </w:rPr>
        <w:t>Career adaptability should support meaningful and sustainable development, not self-blame or limitless accommodation.</w:t>
      </w:r>
    </w:p>
    <w:p w14:paraId="0AA4C044" w14:textId="77777777" w:rsidR="0040073D" w:rsidRDefault="00000000">
      <w:pPr>
        <w:keepNext/>
        <w:pBdr>
          <w:bottom w:val="single" w:sz="12" w:space="4" w:color="F6B900"/>
        </w:pBdr>
        <w:spacing w:before="160" w:after="80"/>
      </w:pPr>
      <w:r>
        <w:rPr>
          <w:b/>
          <w:color w:val="0B4F9C"/>
          <w:sz w:val="30"/>
        </w:rPr>
        <w:t>8  Further Reading and Resources</w:t>
      </w:r>
    </w:p>
    <w:p w14:paraId="6D70A740" w14:textId="77777777" w:rsidR="0040073D" w:rsidRDefault="00000000">
      <w:pPr>
        <w:spacing w:after="80"/>
        <w:ind w:left="227" w:hanging="142"/>
      </w:pPr>
      <w:r>
        <w:rPr>
          <w:b/>
          <w:color w:val="F6B900"/>
          <w:sz w:val="19"/>
        </w:rPr>
        <w:t xml:space="preserve">• </w:t>
      </w:r>
      <w:hyperlink r:id="rId9">
        <w:r>
          <w:rPr>
            <w:color w:val="0B4F9C"/>
            <w:u w:val="single"/>
          </w:rPr>
          <w:t>Fugate, M., Kinicki, A. J., &amp; Ashforth, B. E. (2004). Employability: A psycho-social construct, its dimensions, and applications. Journal of Vocational Behavior, 65(1), 14–38.</w:t>
        </w:r>
      </w:hyperlink>
    </w:p>
    <w:p w14:paraId="15CD2515" w14:textId="77777777" w:rsidR="0040073D" w:rsidRDefault="00000000">
      <w:pPr>
        <w:spacing w:after="80"/>
        <w:ind w:left="227" w:hanging="142"/>
      </w:pPr>
      <w:r>
        <w:rPr>
          <w:b/>
          <w:color w:val="F6B900"/>
          <w:sz w:val="19"/>
        </w:rPr>
        <w:t xml:space="preserve">• </w:t>
      </w:r>
      <w:hyperlink r:id="rId10">
        <w:r>
          <w:rPr>
            <w:color w:val="0B4F9C"/>
            <w:u w:val="single"/>
          </w:rPr>
          <w:t>Savickas, M. L., &amp; Porfeli, E. J. (2012). Career Adapt-Abilities Scale: Construction, reliability, and measurement equivalence across 13 countries. Journal of Vocational Behavior, 80(3), 661–673.</w:t>
        </w:r>
      </w:hyperlink>
    </w:p>
    <w:p w14:paraId="7A146094" w14:textId="77777777" w:rsidR="0040073D" w:rsidRDefault="00000000">
      <w:pPr>
        <w:spacing w:after="80"/>
        <w:ind w:left="227" w:hanging="142"/>
      </w:pPr>
      <w:r>
        <w:rPr>
          <w:b/>
          <w:color w:val="F6B900"/>
          <w:sz w:val="19"/>
        </w:rPr>
        <w:t xml:space="preserve">• </w:t>
      </w:r>
      <w:hyperlink r:id="rId11">
        <w:r>
          <w:rPr>
            <w:color w:val="0B4F9C"/>
            <w:u w:val="single"/>
          </w:rPr>
          <w:t>Europass: Plan your career.</w:t>
        </w:r>
      </w:hyperlink>
    </w:p>
    <w:p w14:paraId="7ACA18AE" w14:textId="77777777" w:rsidR="0040073D" w:rsidRDefault="00000000">
      <w:pPr>
        <w:spacing w:after="80"/>
        <w:ind w:left="227" w:hanging="142"/>
      </w:pPr>
      <w:r>
        <w:rPr>
          <w:b/>
          <w:color w:val="F6B900"/>
          <w:sz w:val="19"/>
        </w:rPr>
        <w:t xml:space="preserve">• </w:t>
      </w:r>
      <w:hyperlink r:id="rId12">
        <w:r>
          <w:rPr>
            <w:color w:val="0B4F9C"/>
            <w:u w:val="single"/>
          </w:rPr>
          <w:t>Cedefop: Developing employability skills.</w:t>
        </w:r>
      </w:hyperlink>
    </w:p>
    <w:p w14:paraId="3621C26C" w14:textId="77777777" w:rsidR="0040073D" w:rsidRDefault="00000000">
      <w:pPr>
        <w:spacing w:before="160"/>
        <w:jc w:val="center"/>
      </w:pPr>
      <w:r>
        <w:rPr>
          <w:b/>
          <w:color w:val="0B4F9C"/>
          <w:sz w:val="19"/>
        </w:rPr>
        <w:t>Use the Personal Development Plan and Career Goal-Setting Worksheet to turn the ideas from this reading into practical next steps.</w:t>
      </w:r>
    </w:p>
    <w:sectPr w:rsidR="0040073D" w:rsidSect="00034616">
      <w:headerReference w:type="default" r:id="rId13"/>
      <w:footerReference w:type="default" r:id="rId14"/>
      <w:pgSz w:w="11906" w:h="16838"/>
      <w:pgMar w:top="935" w:right="964" w:bottom="879" w:left="964"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CCE3EA" w14:textId="77777777" w:rsidR="005C2D00" w:rsidRDefault="005C2D00">
      <w:pPr>
        <w:spacing w:after="0" w:line="240" w:lineRule="auto"/>
      </w:pPr>
      <w:r>
        <w:separator/>
      </w:r>
    </w:p>
  </w:endnote>
  <w:endnote w:type="continuationSeparator" w:id="0">
    <w:p w14:paraId="53A4EE9B" w14:textId="77777777" w:rsidR="005C2D00" w:rsidRDefault="005C2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0B543" w14:textId="77777777" w:rsidR="0040073D" w:rsidRDefault="0040073D">
    <w:pPr>
      <w:pStyle w:val="Footer"/>
    </w:pPr>
  </w:p>
  <w:tbl>
    <w:tblPr>
      <w:tblW w:w="0" w:type="auto"/>
      <w:jc w:val="center"/>
      <w:tblLayout w:type="fixed"/>
      <w:tblLook w:val="04A0" w:firstRow="1" w:lastRow="0" w:firstColumn="1" w:lastColumn="0" w:noHBand="0" w:noVBand="1"/>
    </w:tblPr>
    <w:tblGrid>
      <w:gridCol w:w="4989"/>
      <w:gridCol w:w="4989"/>
    </w:tblGrid>
    <w:tr w:rsidR="0040073D" w14:paraId="413194B3" w14:textId="77777777">
      <w:trPr>
        <w:jc w:val="center"/>
      </w:trPr>
      <w:tc>
        <w:tcPr>
          <w:tcW w:w="4989" w:type="dxa"/>
          <w:tcBorders>
            <w:top w:val="single" w:sz="4" w:space="0" w:color="C9D3DE"/>
          </w:tcBorders>
          <w:tcMar>
            <w:top w:w="60" w:type="dxa"/>
            <w:left w:w="0" w:type="dxa"/>
            <w:bottom w:w="0" w:type="dxa"/>
            <w:right w:w="0" w:type="dxa"/>
          </w:tcMar>
        </w:tcPr>
        <w:p w14:paraId="7F5695AA" w14:textId="77777777" w:rsidR="0040073D" w:rsidRDefault="00000000">
          <w:r>
            <w:rPr>
              <w:color w:val="69717C"/>
              <w:sz w:val="16"/>
            </w:rPr>
            <w:t>Optional Reading: Lifelong Employability and Career Adaptability</w:t>
          </w:r>
        </w:p>
      </w:tc>
      <w:tc>
        <w:tcPr>
          <w:tcW w:w="4989" w:type="dxa"/>
          <w:tcBorders>
            <w:top w:val="single" w:sz="4" w:space="0" w:color="C9D3DE"/>
          </w:tcBorders>
          <w:tcMar>
            <w:top w:w="60" w:type="dxa"/>
            <w:left w:w="0" w:type="dxa"/>
            <w:bottom w:w="0" w:type="dxa"/>
            <w:right w:w="0" w:type="dxa"/>
          </w:tcMar>
        </w:tcPr>
        <w:p w14:paraId="37B8A227" w14:textId="77777777" w:rsidR="0040073D" w:rsidRDefault="00000000">
          <w:pPr>
            <w:jc w:val="right"/>
          </w:pPr>
          <w:r>
            <w:rPr>
              <w:color w:val="69717C"/>
              <w:sz w:val="16"/>
            </w:rPr>
            <w:t xml:space="preserve">Page </w:t>
          </w:r>
          <w:r>
            <w:rPr>
              <w:color w:val="69717C"/>
              <w:sz w:val="16"/>
            </w:rPr>
            <w:fldChar w:fldCharType="begin"/>
          </w:r>
          <w:r>
            <w:rPr>
              <w:color w:val="69717C"/>
              <w:sz w:val="16"/>
            </w:rPr>
            <w:instrText>PAGE</w:instrText>
          </w:r>
          <w:r w:rsidR="00C46903">
            <w:rPr>
              <w:color w:val="69717C"/>
              <w:sz w:val="16"/>
            </w:rPr>
            <w:fldChar w:fldCharType="separate"/>
          </w:r>
          <w:r w:rsidR="00C46903">
            <w:rPr>
              <w:noProof/>
              <w:color w:val="69717C"/>
              <w:sz w:val="16"/>
            </w:rPr>
            <w:t>1</w:t>
          </w:r>
          <w:r>
            <w:rPr>
              <w:color w:val="69717C"/>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63365" w14:textId="77777777" w:rsidR="005C2D00" w:rsidRDefault="005C2D00">
      <w:pPr>
        <w:spacing w:after="0" w:line="240" w:lineRule="auto"/>
      </w:pPr>
      <w:r>
        <w:separator/>
      </w:r>
    </w:p>
  </w:footnote>
  <w:footnote w:type="continuationSeparator" w:id="0">
    <w:p w14:paraId="66317A3E" w14:textId="77777777" w:rsidR="005C2D00" w:rsidRDefault="005C2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F9EC6" w14:textId="77777777" w:rsidR="0040073D" w:rsidRDefault="00000000">
    <w:pPr>
      <w:pStyle w:val="Header"/>
      <w:pBdr>
        <w:bottom w:val="single" w:sz="8" w:space="2" w:color="F6B900"/>
      </w:pBdr>
      <w:spacing w:after="40"/>
    </w:pPr>
    <w:r>
      <w:rPr>
        <w:b/>
        <w:color w:val="0B4F9C"/>
        <w:sz w:val="17"/>
      </w:rPr>
      <w:t>EUPeace Soft Skills Course  |  Extra Materials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0668737">
    <w:abstractNumId w:val="8"/>
  </w:num>
  <w:num w:numId="2" w16cid:durableId="248543168">
    <w:abstractNumId w:val="6"/>
  </w:num>
  <w:num w:numId="3" w16cid:durableId="1244951017">
    <w:abstractNumId w:val="5"/>
  </w:num>
  <w:num w:numId="4" w16cid:durableId="1802727696">
    <w:abstractNumId w:val="4"/>
  </w:num>
  <w:num w:numId="5" w16cid:durableId="857156367">
    <w:abstractNumId w:val="7"/>
  </w:num>
  <w:num w:numId="6" w16cid:durableId="334261254">
    <w:abstractNumId w:val="3"/>
  </w:num>
  <w:num w:numId="7" w16cid:durableId="1662349355">
    <w:abstractNumId w:val="2"/>
  </w:num>
  <w:num w:numId="8" w16cid:durableId="19355209">
    <w:abstractNumId w:val="1"/>
  </w:num>
  <w:num w:numId="9" w16cid:durableId="2083603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DD5"/>
    <w:rsid w:val="00034616"/>
    <w:rsid w:val="0006063C"/>
    <w:rsid w:val="0015074B"/>
    <w:rsid w:val="0029639D"/>
    <w:rsid w:val="00326F90"/>
    <w:rsid w:val="0040073D"/>
    <w:rsid w:val="005C2D00"/>
    <w:rsid w:val="00AA1D8D"/>
    <w:rsid w:val="00B47730"/>
    <w:rsid w:val="00C4690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3E0121"/>
  <w14:defaultImageDpi w14:val="300"/>
  <w15:docId w15:val="{02F0D76D-28FD-4764-887D-90FA9949A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3F465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4F9C"/>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65B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4F9C"/>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edefop.europa.eu/en/tools/vet-toolkit-tackling-early-leaving/intervention-approaches/developing-employability-skil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ass.europa.eu/en/work-europe/plan-your-caree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16/j.jvb.2012.01.011" TargetMode="External"/><Relationship Id="rId4" Type="http://schemas.openxmlformats.org/officeDocument/2006/relationships/settings" Target="settings.xml"/><Relationship Id="rId9" Type="http://schemas.openxmlformats.org/officeDocument/2006/relationships/hyperlink" Target="https://doi.org/10.1016/j.jvb.2003.10.00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dcterms:created xsi:type="dcterms:W3CDTF">2026-07-13T08:43:00Z</dcterms:created>
  <dcterms:modified xsi:type="dcterms:W3CDTF">2026-07-13T08:43:00Z</dcterms:modified>
  <cp:category/>
</cp:coreProperties>
</file>